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1C_397/2012 vom 9. November 2012</w:t>
      </w:r>
    </w:p>
    <w:p>
      <w:r>
        <w:t>Bundesgericht, 2012-11-09, DE</w:t>
      </w:r>
    </w:p>
    <w:p>
      <w:r>
        <w:rPr>
          <w:b/>
        </w:rPr>
        <w:t xml:space="preserve">Quelle: </w:t>
      </w:r>
      <w:r>
        <w:t>https://mcp.opencaselaw.ch/entscheid/bger_1C_397_2012</w:t>
      </w:r>
    </w:p>
    <w:p>
      <w:r>
        <w:t>FR: TF 1C_397/2012 du 9 novembre 2012</w:t>
      </w:r>
    </w:p>
    <w:p>
      <w:r>
        <w:t>IT: TF 1C_397/2012 del 9 novembre 2012</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 und Völkerrecht, was zulässig ist ( Art. 95 lit. a und b BGG ). Die übrigen Sachurteilsvoraussetzungen sind erfüllt, weshalb auf die Beschwerde einzutreten ist.</w:t>
      </w:r>
    </w:p>
    <w:p>
      <w:r>
        <w:rPr>
          <w:b/>
        </w:rPr>
        <w:t>E. 2</w:t>
      </w:r>
    </w:p>
    <w:p>
      <w:r>
        <w:t>Der Beschwerdeführer macht unter Berufung auf den Fall Zolotukhin sowie BGE 137 I 363 geltend, es sei mit Art. 4 Ziff. 1 des Protokolls Nr. 7 zur EMRK (SR 0.101.07) nicht vereinbar, gegen ihn wegen des gleichen Vorfalls sowohl eine straf- als auch eine administrativrechtliche Sanktion zu verhängen.</w:t>
      </w:r>
    </w:p>
    <w:p>
      <w:r>
        <w:t>Das Bundesgericht hat die Trennung des Straf- vom Verwaltungsverfahren in ständiger Praxis geschützt, auch wenn dies unter dem Gesichtspunkt des auch völkerrechtlich verankerten Grundsatzes "ne bis in idem" kontrovers diskutiert werden kann, weil der Betroffene regelmässig sowohl die strafrechtliche als auch die administrative Sanktion als Strafe wahrnimmt und sich "doppelt bestraft" vorkommen mag. In BGE 137 I 363 E. 2 ist es nun allerdings aufgrund einer vertieften Auseinandersetzung mit der Lehre und der Praxis der Organe der Menschenrechtskonvention - insbesondere mit dem Fall Zolotukhin gegen Russland, Urteil des Gerichtshofs für Menschenrechte vom 10. Februar 2009 - zum Ergebnis gekommen, dass der Grundsatz "ne bis in idem" durch die Kumulierung von straf- und verwaltungsrechtlicher Sanktion jedenfalls bei Verkehrsregelverletzungen nicht verletzt wird (Urteil 1C_28/2012 vom 25. Mai 2012 E. 2.2). Der Beschwerdeführer bringt zu dieser Problematik keine neuen Gesichtspunkte vor, die eine Praxisänderung rechtfertigen könnten. Die Rüge ist unbegründet.</w:t>
      </w:r>
    </w:p>
    <w:p>
      <w:r>
        <w:rPr>
          <w:b/>
        </w:rPr>
        <w:t>E. 3</w:t>
      </w:r>
    </w:p>
    <w:p>
      <w:r>
        <w:t>Der Beschwerdeführer macht geltend, er habe nur überholt, weil er von einer Begleitperson des Konvois dazu aufgefordert worden sei. Angesichts seines ungetrübten automobilistischen Leumunds sei bloss eine Verwarnung auszusprechen.</w:t>
      </w:r>
    </w:p>
    <w:p>
      <w:r>
        <w:t>Der Beschwerdeführer hat seine strafrechtliche Verurteilung wegen grober Verletzung von Verkehrsregeln akzeptiert und muss sich dementsprechend darauf behaften lassen. Das Strassenverkehrsamt Luzern hat ihn mit Schreiben vom 8. November 2011 ausdrücklich darauf aufmerksam gemacht, dass er im Strafverfahren und nicht erst im Administrativverfahren von seinen Verteidigungsrechten Gebrauch machen müsse, wenn er mit dem Verzeigungsvorbehalt nicht einverstanden sei.</w:t>
      </w:r>
    </w:p>
    <w:p>
      <w:r>
        <w:t>Eine grobe Verkehrsregelverletzung Sinn von Art. 90 Ziff. 2 SVG entspricht einer schweren Widerhandlung gegen die Strassenverkehrsvorschriften gemäss Art. 16c Abs. 1 lit. a SVG ( BGE 132 II 234 E. 3 S. 237), was einen Führerausweisentzug von mindestens drei Monaten zur Folge hat ( Art. 16c Abs. 2 lit. a SVG ). Eine Unterschreitung der gesetzlichen Mindestdauern ist ausgeschlossen ( Art. 16 Abs. 3 SVG ). Für eine Senkung der Entzugsdauer oder gar den Ersatz dieser Massnahme durch eine Verwarnung bleibt damit kein Raum.</w:t>
      </w:r>
    </w:p>
    <w:p>
      <w:r>
        <w:rPr>
          <w:b/>
        </w:rPr>
        <w:t>E. 4</w:t>
      </w:r>
    </w:p>
    <w:p>
      <w:r>
        <w:t>Die Beschwerde ist abzuweisen. Bei diesem Ausgang des Verfahrens trägt der Beschwerdeführer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