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395/2020 vom 9. Oktober 2020</w:t>
      </w:r>
    </w:p>
    <w:p>
      <w:r>
        <w:t>Bundesgericht, 2020-10-09, FR</w:t>
      </w:r>
    </w:p>
    <w:p>
      <w:r>
        <w:rPr>
          <w:b/>
        </w:rPr>
        <w:t xml:space="preserve">Quelle: </w:t>
      </w:r>
      <w:r>
        <w:t>https://mcp.opencaselaw.ch/entscheid/bger_1C_395_2020</w:t>
      </w:r>
    </w:p>
    <w:p>
      <w:r>
        <w:t>FR: TF 1C 395/2020 du 9 octobre 2020</w:t>
      </w:r>
    </w:p>
    <w:p>
      <w:r>
        <w:t>IT: TF 1C 395/2020 del 9 ottobre 2020</w:t>
      </w:r>
    </w:p>
    <w:p>
      <w:pPr>
        <w:pStyle w:val="Heading2"/>
      </w:pPr>
      <w:r>
        <w:t>Regeste</w:t>
      </w:r>
    </w:p>
    <w:p>
      <w:r>
        <w:t>Demande d'information et de rectification; déni de justice | Procédure administrative</w:t>
      </w:r>
    </w:p>
    <w:p>
      <w:pPr>
        <w:pStyle w:val="Heading2"/>
      </w:pPr>
      <w:r>
        <w:t>Erwägungen</w:t>
      </w:r>
    </w:p>
    <w:p>
      <w:r>
        <w:rPr>
          <w:b/>
        </w:rPr>
        <w:t>E. 1</w:t>
      </w:r>
    </w:p>
    <w:p>
      <w:r>
        <w:t>L'arrêt attaqué, relatif à une procédure d'accès et de rectification de données, constitue une décision finale rendue dans une cause de droit public ( art. 82 let. a LTF ). Aucune des exceptions mentionnées à l' art. 83 LTF n'étant réalisée, c'est le recours en matière de droit public qui est en principe ouvert, et non le recours constitutionnel subsidiaire ( art. 113 LTF ). Le recours peut, cela étant, être traité comme tel. Les recourants ont pris part à la procédure devant l'autorité précédente ( art. 89 al. 1 let. a LTF ) et disposent d'un intérêt à l'annulation ou à la réforme de l'arrêt attaqué. L'objet du litige, tel qu'il est déterminé par les premières démarches des recourants, est, sur le fond, la rectification des données figurant sur le registre du contrôle des habitants, ainsi que la fourniture d'informations à ce propos. A ce stade, les recourants se plaignent d'un déni de justice, soit d'une absence de réponse de la part de la Municipalité et du Préposé au contrôle des habitants. Les conclusions allant au-delà de ce dernier objet et visant directement à l'obtention de renseignements, à la rectification de données, ainsi qu'à la production d'un dossier fribourgeois, sont donc irrecevables.</w:t>
      </w:r>
    </w:p>
    <w:p>
      <w:r>
        <w:rPr>
          <w:b/>
        </w:rPr>
        <w:t>E. 2</w:t>
      </w:r>
    </w:p>
    <w:p>
      <w:r>
        <w:t>Dans un grief d'ordre formel qu'il convient d'examiner en premier lieu, les recourants se plaignent de ne pas avoir reçu de la cour cantonale la réponse déposée par la municipalité et d'avoir tenu compte d'un courriel du 12 mai 2020 dont ils ignorent tout. Invitée à répondre au recours cantonal, la municipalité a transmis à la cour cantonale "les différents courriels et courriers faisant suite aux nombreuses demandes des recourants". La municipalité s'est ainsi contentée de produire son dossier, sans formuler aucune conclusion ni observation. Une telle communication n'appelait dès lors pas de droit de réplique (a contrario ATF 146 III 97 consid. 3.4.1 et les arrêts cités). Quant au courriel du 12 juin (et non du 12 mai) 2020 mentionné dans l'arrêt cantonal, il ne s'agit pas d'une pièce nouvelle ni d'un élément pertinent pour l'issue de la cause, la cour cantonale ayant relevé qu'il ne s'agissait pas d'une décision formelle répondant aux demandes des recourants. Les griefs formels doivent par conséquent être écartés.</w:t>
      </w:r>
    </w:p>
    <w:p>
      <w:r>
        <w:rPr>
          <w:b/>
        </w:rPr>
        <w:t>E. 3</w:t>
      </w:r>
    </w:p>
    <w:p>
      <w:r>
        <w:t>Les recourants invoquent l'art. 12 al. 1 LInfo, selon lequel l'autorité doit statuer dans les quinze jours suivant la demande de renseignements, ce délai pouvant être prolongé de quinze jours selon la complexité du cas. Ils estiment que leur démarche initiale du 29 mars 2020 constituait une demande d'information fondée sur cette loi, par laquelle ils posaient à l'administration plusieurs questions. L'appréciation de la cour cantonale sur ce point serait arbitraire.</w:t>
      </w:r>
    </w:p>
    <w:p>
      <w:r>
        <w:rPr>
          <w:b/>
        </w:rPr>
        <w:t>E. 3.1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42 al. 2 et 106 al. 2 LTF). La partie recourante doit indiquer les principes constitutionnels qui n'auraient pas été respectés et expliquer de manière claire et précise en quoi ces principes auraient été violés ( ATF 142 II 369 consid. 2.1 p. 272; 141 I 36 consid. 1.3 p. 41).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 ATF 143 I 321 consid. 6.1 p. 324).</w:t>
      </w:r>
    </w:p>
    <w:p>
      <w:r>
        <w:rPr>
          <w:b/>
        </w:rPr>
        <w:t>E. 3.2</w:t>
      </w:r>
    </w:p>
    <w:p>
      <w:r>
        <w:t>A teneur de son art. 1 al. 1, la LInfo a pour but de garantir la transparence des activités des autorités afin de favoriser la libre formation de l'opinion publique. La loi ne s'applique donc pas, comme semblent le penser les recourants, à n'importe quelle demande de renseignements qui serait adressée à l'administration. La démarche des recourants ne s'inscrivait manifestement pas dans le but poursuivi par la LInfo; elle ne tendait pas à accéder à un document officiel, mais à constater l'inexactitude de données figurant dans le dossier personnel des recourants auprès du contrôle des habitants, à connaître la raison de ces inexactitudes et à en obtenir la rectification. La cour cantonale pouvait donc retenir avec raison - et par conséquent sans aucun arbitraire - que la demande du 29 mars 2020, tout comme celle du 12 mai 2020, étaient soumises à la réglementation sur le contrôle des habitants et la loi cantonale sur la protection des données personnelles, lesquelles ne fixent, au contraire de l'art. 12 LInfo, pas de délai particulier pour le traitement des demandes.</w:t>
      </w:r>
    </w:p>
    <w:p>
      <w:r>
        <w:rPr>
          <w:b/>
        </w:rPr>
        <w:t>E. 3.3</w:t>
      </w:r>
    </w:p>
    <w:p>
      <w:r>
        <w:t>L' 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144 II 486 consid. 3.2 p. 489; 135 I 265 consid. 4.4 p. 277). La cour cantonale a constaté qu'un délai d'un peu plus de deux mois s'était écoulé depuis la demande du 29 mars 2020, respectivement d'un mois depuis celle du 12 mai 2020, ce qui ne paraissait pas excessif même si les questions soulevées n'étaient pas complexes; il y avait lieu de tenir compte de la charge de travail de l'administration, ainsi que des difficultés résultant de la crise sanitaire liée au Covid-19. Ces considérations apparaissent pertinentes et c'est à juste titre que la cour cantonale a refusé de sanctionner à ce stade un retard à statuer, tout en précisant qu'il appartiendrait aux autorités saisies de statuer formellement dans un délai raisonnable.</w:t>
      </w:r>
    </w:p>
    <w:p>
      <w:r>
        <w:rPr>
          <w:b/>
        </w:rPr>
        <w:t>E. 3.4</w:t>
      </w:r>
    </w:p>
    <w:p>
      <w:r>
        <w:t>Le Tribunal fédéral tient compte de l'état de fait existant au moment du prononcé cantonal ( art. 105 al. 1 LTF ). Le temps écoulé depuis cet arrêt ne peut donc être pris en considération dans le cadre d'un recours pour déni de justice ou retard à statuer, puisqu'il s'agit d'un élément nouveau au sens de l' art. 99 al. 1 LTF . Cela étant, il y a lieu de relever que si, comme le relève l'autorité cantonale de protection des données et de droit à l'information, l'administration communale n'a toujours pas répondu sur le fond aux recourants alors que l'arrêt cantonal lui a d'ailleurs clairement enjoint de le faire, cela pourrait apparaître problématique au regard de l'obligation de célérité.</w:t>
      </w:r>
    </w:p>
    <w:p>
      <w:r>
        <w:rPr>
          <w:b/>
        </w:rPr>
        <w:t>E. 4</w:t>
      </w:r>
    </w:p>
    <w:p>
      <w:r>
        <w:t>Sur le vu de ce qui précède, le recours constitutionnel est irrecevable et le recours en matière de droit public est rejeté, dans la mesure où il est recevable. Compte tenu des circonstances (l'absence de décision formelle ayant pu inciter les recourants à saisir le Tribunal fédéral),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