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1C_394/2013 vom 28. Juni 2013</w:t>
      </w:r>
    </w:p>
    <w:p>
      <w:r>
        <w:t>Bundesgericht, 2013-06-28, DE</w:t>
      </w:r>
    </w:p>
    <w:p>
      <w:r>
        <w:rPr>
          <w:b/>
        </w:rPr>
        <w:t xml:space="preserve">Quelle: </w:t>
      </w:r>
      <w:r>
        <w:t>https://mcp.opencaselaw.ch/entscheid/bger_1C_394_2013</w:t>
      </w:r>
    </w:p>
    <w:p>
      <w:r>
        <w:t>FR: TF 1C_394/2013 du 28 juin 2013</w:t>
      </w:r>
    </w:p>
    <w:p>
      <w:r>
        <w:t>IT: TF 1C_394/2013 del 28 giugno 2013</w:t>
      </w:r>
    </w:p>
    <w:p>
      <w:pPr>
        <w:pStyle w:val="Heading2"/>
      </w:pPr>
      <w:r>
        <w:t>Erwägungen</w:t>
      </w:r>
    </w:p>
    <w:p>
      <w:r>
        <w:rPr>
          <w:b/>
        </w:rPr>
        <w:t>E. 1</w:t>
      </w:r>
    </w:p>
    <w:p>
      <w:r>
        <w:t>Der Beschwerdeführer ist als VBZ-Tramführer Beamter im Sinn von Art. 110 Abs. 3 StGB . Nach Art. 7 Abs. 2 lit. b StPO i.V.m. § 148 des Zürcher Gesetzes vom 10. Mai 2010 über die Gerichts- und Behördenorganisation im Zivil- und Strafprozess darf er für mit seiner beruflichen Tätigkeit in Zusammenhang stehende Delikte nur mit Ermächtigung des Obergerichts verfolgt werden. Mit dem angefochtenen Beschluss erteilte es der Staatsanwaltschaft Zürich-Sihl kantonal letztinstanzlich diese Ermächtigung. Der Entscheid schliesst das Strafverfahren gegen den Beschwerdeführer nicht ab, sondern ermöglicht im Gegenteil dessen Einleitung bzw. Fortführung. Es handelt sich um einen Zwischenentscheid, gegen den nach der Rechtsprechung die Beschwerde in öffentlich-rechtlichen Angelegenheiten zulässig ist ( BGE 137 IV 269 E. 1.3.1; Urteil 1C_129/2013 vom 28. Mai 2013 E. 1),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(lit. b).</w:t>
      </w:r>
    </w:p>
    <w:p>
      <w:r>
        <w:t>Diese Sachurteilsvoraussetzungen sind vorliegend nicht erfüllt. Die Durchführung eines Strafverfahrens begründet nach konstanter Rechtsprechung keinen Nachteil rechtlicher Natur, der mit einem für den Angeschuldigten günstigen Entscheid nicht behoben werden könnte ( BGE 133 IV 139 E. 4). Der angefochtene Ermächtigungsentscheid ist damit unter dem Gesichtspunkt von Art. 93 Abs. 1 lit. a BGG nicht anfechtbar, selbst wenn im Ermächtigungsverfahren der Anspruch auf rechtliches Gehör verletzt worden sein sollte, wird er doch im allfälligen Strafverfahren seine vollen Verteidigungsrechte wahrnehmen können. Die Anwendung von Art. 93 Abs. 1 lit. b BGG fällt ohnehin ausser Betracht, da das Ermächtigungsverfahren weder besonders aufwendig ist noch ein Beweisverfahren erfordert.</w:t>
      </w:r>
    </w:p>
    <w:p>
      <w:r>
        <w:rPr>
          <w:b/>
        </w:rPr>
        <w:t>E. 2</w:t>
      </w:r>
    </w:p>
    <w:p>
      <w:r>
        <w:t>Auf die Beschwerde ist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