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1C_393/2015 vom 19. August 2015</w:t>
      </w:r>
    </w:p>
    <w:p>
      <w:r>
        <w:t>Bundesgericht, 2015-08-19, IT</w:t>
      </w:r>
    </w:p>
    <w:p>
      <w:r>
        <w:rPr>
          <w:b/>
        </w:rPr>
        <w:t xml:space="preserve">Quelle: </w:t>
      </w:r>
      <w:r>
        <w:t>https://mcp.opencaselaw.ch/entscheid/bger_1C_393_2015</w:t>
      </w:r>
    </w:p>
    <w:p>
      <w:r>
        <w:t>FR: TF 1C_393/2015 du 19 août 2015</w:t>
      </w:r>
    </w:p>
    <w:p>
      <w:r>
        <w:t>IT: TF 1C_393/2015 del 19 agosto 2015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Contro le decisioni emanate nel campo dell'assistenza giudiziaria internazionale in materia penale il ricorso è ammissibile soltanto se concerne un'estradizione, un sequestro, la consegna di oggetti o beni oppure la comunicazione di informazioni inerenti alla sfera segreta e inoltre si tratti di un caso particolarmente importante ( art. 84 cpv. 1 LTF ). Si è segnatamente in presenza di un siffatto caso, laddove vi sono motivi per ritenere che sono stati violati elementari principi procedurali o che il procedimento all'estero presenta gravi lacune (cpv. 2). Questi motivi di entrata nel merito non sono tuttavia esaustivi e il Tribunale federale può essere chiamato a intervenire anche quando si tratti di dirimere una questione giuridica di principio ( DTF 136 IV 20 consid. 1.2; 134 IV 156 consid. 1.3.3 e 1.3.4) o quando l'istanza precedente si è scostata dalla giurisprudenza costante ( DTF 139 IV 294 consid. 1.1; 133 IV 131 consid. 3, 215 consid. 1.2).</w:t>
      </w:r>
    </w:p>
    <w:p>
      <w:r>
        <w:rPr>
          <w:b/>
        </w:rPr>
        <w:t>E. 1.2</w:t>
      </w:r>
    </w:p>
    <w:p>
      <w:r>
        <w:t>L' art. 84 LTF persegue lo scopo di limitare efficacemente l'accesso al Tribunale federale nell'ambito dell'assistenza giudiziaria in materia penale ( DTF 133 IV 132 consid. 1.3). Nella valutazione circa l'esistenza di un caso particolarmente importante giusta l' art. 84 LTF , che dev'essere ammesso in maniera restrittiva, il Tribunale federale dispone di un ampio potere di apprezzamento ( DTF 134 IV 156 consid. 1.3.1 e 1.3.2).</w:t>
      </w:r>
    </w:p>
    <w:p>
      <w:r>
        <w:rPr>
          <w:b/>
        </w:rPr>
        <w:t>E. 1.3</w:t>
      </w:r>
    </w:p>
    <w:p>
      <w:r>
        <w:t>Conformemente all' art. 42 cpv. 2 LTF , spetta alla ricorrente, pena l'inammissibilità del gravame, dimostrare che le condizioni di entrata in materia richieste dall' art. 84 LTF sono adempiute ( DTF 139 IV 294 consid. 1.1).</w:t>
      </w:r>
    </w:p>
    <w:p>
      <w:r>
        <w:rPr>
          <w:b/>
        </w:rPr>
        <w:t>E. 2.1</w:t>
      </w:r>
    </w:p>
    <w:p>
      <w:r>
        <w:t>La ricorrente adduce che si sarebbe in presenza di un caso particolarmente importante a causa di asserite violazioni elementari di principi procedurali, in particolare riguardo al principio di proporzionalità, e di gravi lacune del procedimento estero. Asserisce che lo Stato estero avrebbe manifestato un atteggiamento chiaramente fuorviante, comportante una violazione del principio della buona fede e dell'affidamento, poiché non avrebbe informato la Svizzera dell'emanazione di una richiesta di rinvio a giudizio degli indagati, di cui la ricorrente sarebbe venuta a conoscenza "di recente". Al suo dire, tale sviluppo processuale richiederebbe l'aggiornamento della rogatoria, in quanto assumerebbe una "colorazione fiscale", distinta dallo scenario dell'associazione a delinquere posta a fondamento della rogatoria.</w:t>
      </w:r>
    </w:p>
    <w:p>
      <w:r>
        <w:rPr>
          <w:b/>
        </w:rPr>
        <w:t>E. 2.2</w:t>
      </w:r>
    </w:p>
    <w:p>
      <w:r>
        <w:t>Questo fatto e mezzo di prova, addotto dalla ricorrente in questa sede, ma non esaminato nella decisione impugnata, è tuttavia inammissibile, poiché nuovo ( art. 99 cpv. 1 LTF ). Si può comunque rilevare che nell'invocata richiesta di rinvio a giudizio alla ricorrente viene rimproverato il reato di associazione per delinquere di cui all'art. 416, 1°, 2° e 3° comma CP italiano, poiché si associava con altre persone al fine di commettere una pluralità indeterminata di reati fiscali e fallimentari e, in particolare, riciclare i profitti dei reati commessi: si tratta dei fatti indicati nella rogatoria. Per il resto le critiche ricorsuali si riferiscono a un diverso apprezzamento dei fatti e alla valutazione delle prove nel caso concreto, che non fanno assumere alla vertenza la qualità di un caso particolarmente importante ai sensi dell' art. 84 cpv. 2 LTF .</w:t>
      </w:r>
    </w:p>
    <w:p>
      <w:r>
        <w:rPr>
          <w:b/>
        </w:rPr>
        <w:t>E. 3</w:t>
      </w:r>
    </w:p>
    <w:p>
      <w:r>
        <w:t>Il ricorso è pertanto inammissibile. Le spese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