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393/2011 vom 3. Juli 2012</w:t>
      </w:r>
    </w:p>
    <w:p>
      <w:r>
        <w:t>Bundesgericht, 2012-07-03, FR</w:t>
      </w:r>
    </w:p>
    <w:p>
      <w:r>
        <w:rPr>
          <w:b/>
        </w:rPr>
        <w:t xml:space="preserve">Quelle: </w:t>
      </w:r>
      <w:r>
        <w:t>https://mcp.opencaselaw.ch/entscheid/bger_1C_393_2011</w:t>
      </w:r>
    </w:p>
    <w:p>
      <w:r>
        <w:t>FR: TF 1C 393/2011 du 3 juillet 2012</w:t>
      </w:r>
    </w:p>
    <w:p>
      <w:r>
        <w:t>IT: TF 1C 393/2011 del 3 luglio 2012</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art. 29 al. 1 LTF ).</w:t>
      </w:r>
    </w:p>
    <w:p>
      <w:r>
        <w:rPr>
          <w:b/>
        </w:rPr>
        <w:t>E. 2</w:t>
      </w:r>
    </w:p>
    <w:p>
      <w:r>
        <w:t>Les recourants déposent conjointement un seul mémoire de recours à l'encontre des deux arrêts du Tribunal cantonal du 12 juillet 2012. Ces décisions concernent la même cause et contiennent des considérants et une motivation quasiment identiques. Il se justifie par conséquent de rendre un seul arrêt dans cette affaire.</w:t>
      </w:r>
    </w:p>
    <w:p>
      <w:r>
        <w:rPr>
          <w:b/>
        </w:rPr>
        <w:t>E. 3</w:t>
      </w:r>
    </w:p>
    <w:p>
      <w:r>
        <w:t>Dirigé contre des décisions rendues dans le domaine du droit public de l'aménagement du territoire et des constructions, le recours est en principe recevable comme recours en matière de droit public, conformément aux art. 82 ss LTF , auxquels renvoie l'art. 34 al. 1 de la loi fédérale du 22 juin 1979 sur l'aménagement du territoire (LAT, RS 700; ATF 133 II 353 consid. 2 p. 356, 249 consid. 1.2 p. 251). Aucune des exceptions prévues à l' art. 83 LTF n'est réalisée.</w:t>
      </w:r>
    </w:p>
    <w:p>
      <w:r>
        <w:rPr>
          <w:b/>
        </w:rPr>
        <w:t>E. 4</w:t>
      </w:r>
    </w:p>
    <w:p>
      <w:r>
        <w:t>Ont en particulier qualité pour recourir les organisations auxquelles la législation fédérale accorde le droit de recours ( art. 89 al. 2 let . d LTF). En application de l'art. 12 al. 1 let. b de la loi fédérale du 1er juillet 1966 sur la protection de la nature et du paysage (LPN; RS 451), ont qualité pour recourir contre les décisions des autorités cantonales ou fédérales les organisations qui se vouent à la protection de la nature, à la protection du paysage, à la conservation des monuments historiques ou à des tâches semblables. WWF Suisse, Patrimoine suisse (Schweizer Heimatschutz) et la Fondation suisse pour la protection et l'aménagement du paysage (FP) sont reconnus comme des associations d'importance nationale vouées à la protection de l'environnement, de la nature et du paysage (cf. ch. 3, 5 et 13 de l'annexe à l'ordonnance relative à la désignation des organisations habilitées à recourir dans les domaines de la protection de l'environnement ainsi que de la protection de la nature et du paysage [ODO; RS 814.076]). A ce titre, ils ont en principe la qualité pour agir par la voie du recours en matière de droit public, en tant qu'ils allèguent que la décision litigieuse est susceptible de porter atteinte aux intérêts de la nature et du paysage.</w:t>
      </w:r>
    </w:p>
    <w:p>
      <w:r>
        <w:rPr>
          <w:b/>
        </w:rPr>
        <w:t>E. 5</w:t>
      </w:r>
    </w:p>
    <w:p>
      <w:r>
        <w:t>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120 Ib 27 consid. 2c et les références). La partie qui prétend tirer sa qualité pour agir de l' art. 12 LPN doit alléguer, avec une certaine vraisemblance, que le projet litigieux touche effectivement à l'application du droit matériel de la Confédération ( ATF 123 II 5 consid. 2c p. 7). En l'espèce, les recourants ont soulevé, dans leur mémoire de recours, un grief relatif à la protection des biotopes. Ils faisaient valoir que le périmètre du plan de quartier "Aminona-Est" était en quasi totalité compris à l'intérieur de l'objet 7445 de l'OPPS; l'octroi des autorisations de construire litigieuses mettait dès lors manifestement en jeu une tâche fédérale (cf. ATF 120 Ib 27 consid. 2c/aa p. 31). L'objet 7445 ayant toutefois été radié de l'OPPS depuis le 1er février 2012, les recourants ont abandonné ce grief, estimant qu'il n'était plus d'actualité. Ils ne peuvent dès lors plus tirer un droit de recours de la protection des biotopes.</w:t>
      </w:r>
    </w:p>
    <w:p>
      <w:r>
        <w:rPr>
          <w:b/>
        </w:rPr>
        <w:t>E. 6.1</w:t>
      </w:r>
    </w:p>
    <w:p>
      <w:r>
        <w:t>Selon la jurisprudence, l'application de l' art. 24 LAT relève aussi de l'accomplissement d'une tâche fédérale au sens de l' art. 2 LPN lorsqu'il est prétendu qu'une autorisation de construire exceptionnelle hors de la zone à bâtir ne tiendrait pas compte des impératifs de la protection de la nature et du paysage ainsi que des prescriptions de la LPN ( ATF 120 Ib 27 consid. 2c/aa p. 31 et les arrêts cités). Sous cette réserve, les organisations d'importance nationale au sens de l' art. 12 LPN sont ainsi habilitées à faire valoir qu'une mesure de planification éluderait les art. 24 ss LAT , plus particulièrement qu'un classement en zone à bâtir aurait essentiellement pour but de légaliser des constructions existantes érigées sans droit, en violation des dispositions précitées ( ATF 123 II 5 consid. 2c p. 7 s.; 289 consid. 1e p. 292; arrêt 1A.71/1993 du 12 avril 1994, in ZBl 96/1995 p. 144, consid. 2 et 3; 118 Ib 381 consid. 2b/cc p. 391; 115 Ib 508 consid. 5a/bb p. 510). En revanche, elles ne peuvent se plaindre d'une violation de l' art. 22 LAT , la procédure d'autorisation de construire ne constituant pas un mode d'exécution d'une tâche de la Confédération au sens de l' art. 2 LPN ( ATF 112 Ib 70 , 107 Ib 114 consid. 2a). Par ailleurs, un droit de recours n'existe que si ces associations ont participé aux phases antérieures de la procédure, notamment au stade de l'opposition ( art. 12c al. 2 LPN ). De même, si une organisation a omis de formuler des griefs recevables contre un plan d'affectation à caractère décisionnel, ou si ces griefs ont été rejetés définitivement, l'organisation ne peut plus les faire valoir dans une procédure ultérieure ( art. 12c al. 3 LPN ). Ces règles s'appliquent également aux oppositions et recours formés contre des plans d'affectation en vertu du droit cantonal ( art. 12c al. 4 LPN ). La teneur actuelle de ces dispositions est entrée en vigueur le 1er juillet 2007. La règlementation prévue aux al. 3 et 4 de l' art. 21c LPN n'existait pas auparavant. Celle-ci traduit cependant une jurisprudence précédemment établie, selon laquelle une organisation n'est en principe plus recevable à exiger le contrôle incident d'un plan, par exemple dans le cadre d'une procédure d'autorisation de construire, lorsqu'elle avait la possibilité de contester directement cette planification et qu'elle s'en est abstenue (cf. ATF 123 II 337 consid. 3 p. 342 s. et les arrêts cités).</w:t>
      </w:r>
    </w:p>
    <w:p>
      <w:r>
        <w:rPr>
          <w:b/>
        </w:rPr>
        <w:t>E. 6.2</w:t>
      </w:r>
    </w:p>
    <w:p>
      <w:r>
        <w:t>En l'occurrence, les recourants allèguent que c'est à tort et en violation du droit fédéral que les autorisations de construire querellées sont fondées sur l' art. 22 al. 2 let. a LAT alors qu'elles auraient dû être examinées sur la base de l' art. 24 LAT . Ils font en effet valoir que le plan de quartier Aminona-Est serait invalide et la zone du centre d'Aminona non constructible. Les recourants tentent ainsi de s'attaquer à un plan de quartier qu'ils n'ont pas contesté en temps utile. Ils n'expliquent toutefois pas pour quelles raisons ils n'ont pas fait opposition au plan de quartier Aminona-Est, publié au bulletin officiel du 30 décembre 2005, alors qu'ils auraient pu intervenir à ce moment-là s'ils entendaient contester la procédure d'adoption de cette planification. Au vu de la jurisprudence précitée (cf. consid. 6.1 ci-dessus), ils ne sont dès lors plus recevables à exiger le contrôle incident d'un plan litigieux. Au surplus, les recourants invoquent la nullité du plan de quartier, affirmant que ce motif est invocable en tout temps et en toute procédure. Or, par ce moyen, ils remettent en cause la procédure qui a été suivie pour l'adoption du plan de quartier Aminona-Est, contestant en particulier la compétence de la commune de Mollens. Ils ne s'en prennent ainsi qu'à des questions procédurales, sans cependant faire valoir une atteinte à la protection de la nature et du paysage, ni même se plaindre d'une mauvaise application de la LAT. Ils n'ont ainsi pas rendu vraisemblable que le plan de quartier litigieux était contraire aux principes de l'aménagement du territoire et éludait l'application des art. 24 ss LAT , si bien qu'ils ne peuvent dès lors pas non plus fonder leur qualité pour recourir sous cet angle.</w:t>
      </w:r>
    </w:p>
    <w:p>
      <w:r>
        <w:rPr>
          <w:b/>
        </w:rPr>
        <w:t>E. 7</w:t>
      </w:r>
    </w:p>
    <w:p>
      <w:r>
        <w:t>Il résulte de ce qui précède que le recours doit être déclaré irrecevable. Les recourants, qui succombent, doivent supporter les frais judiciaires, solidairement entre eux ( art. 66 al. 1 et 5 LTF ). Ils verseront en outre une indemnité de dépens à l'intimée qui a eu recours à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