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1C_38/2023 vom 26. Januar 2023</w:t>
      </w:r>
    </w:p>
    <w:p>
      <w:r>
        <w:t>Bundesgericht, 2023-01-26, DE</w:t>
      </w:r>
    </w:p>
    <w:p>
      <w:r>
        <w:rPr>
          <w:b/>
        </w:rPr>
        <w:t xml:space="preserve">Quelle: </w:t>
      </w:r>
      <w:r>
        <w:t>https://mcp.opencaselaw.ch/entscheid/bger_1C_38_2023</w:t>
      </w:r>
    </w:p>
    <w:p>
      <w:r>
        <w:t>FR: TF 1C_38/2023 du 26 janvier 2023</w:t>
      </w:r>
    </w:p>
    <w:p>
      <w:r>
        <w:t>IT: TF 1C_38/2023 del 26 gennaio 2023</w:t>
      </w:r>
    </w:p>
    <w:p>
      <w:pPr>
        <w:pStyle w:val="Heading2"/>
      </w:pPr>
      <w:r>
        <w:t>Erwägungen</w:t>
      </w:r>
    </w:p>
    <w:p>
      <w:r>
        <w:rPr>
          <w:b/>
        </w:rPr>
        <w:t>E. 1</w:t>
      </w:r>
    </w:p>
    <w:p>
      <w:r>
        <w:t>Am 20. November 2022 reichte A.________ Strafanzeige gegen B.________ (C.________ der Gemeindeverwaltung Uzwil) sowie mehrere Mitarbeiterinnen des Betreibungsamts Uzwil wegen des Verdachts der Amtsanmassung ein. Das kantonale Untersuchungsamt überwies die Anzeige am 22. November 2022 an die Anklagekammer des Kantons St. Gallen zur Durchführung eines Ermächtigungsverfahrens. Mit Entscheid vom 21. Dezember 2022 erteilte die Anklagekammer die Ermächtigung zur Eröffnung eines Strafverfahrens gegen die Mitarbeiterinnen des Betreibungsamts sowie B.________ nicht.</w:t>
      </w:r>
    </w:p>
    <w:p>
      <w:r>
        <w:t>Mit Eingabe vom 16. Januar 2023 erhob A.________ Beschwerde an das Bundesgericht. Er beantragt u.a., die Ermächtigung zur Eröffnung eines Strafverfahrens gegen die Mitarbeiterinnen des Betreibungsamts Uzwil und B.________ sei zu erteilen. Weiter sei seine Strafanzeige auf Personen in Verwaltung und Politik zu erweitern, welche die Amtsanmassungen durch ihr Tun ermöglicht hätten sowie auch auf sämtliche Betreibungsämter der Schweiz, da sie gegen das Gesetz verstossen würden. Ihnen sei die Tätigkeit zu untersagen und sämtliche seit Abschaffung des Beamtentums in der Schweiz vorgenommenen Betreibungen seien rückgängig zu machen.</w:t>
      </w:r>
    </w:p>
    <w:p>
      <w:r>
        <w:t>Vernehmlassungen wurden keine eingeholt.</w:t>
      </w:r>
    </w:p>
    <w:p>
      <w:r>
        <w:rPr>
          <w:b/>
        </w:rPr>
        <w:t>E. 2.1</w:t>
      </w:r>
    </w:p>
    <w:p>
      <w:r>
        <w:t>Nach Art. 7 Abs. 2 lit. b StPO i.V.m. Art. 17 Abs. 2 lit. b des Einführungsgesetzes des Kantons St. Gallen vom 3. August 2010 zur Schweizerischen Straf- und Jugendstrafprozessordnung (EG-StPO; sGS 962.1) entscheidet die Anklagekammer über die Eröffnung oder Nichtanhandnahme einer Strafuntersuchung gegen Beamte im Sinne von Art. 110 Abs. 3 StGB wegen im Amt begangener Vergehen oder Verbrechen. Mit dem angefochtenen Entscheid hat es die Anklagekammer abgelehnt, die Staatsanwaltschaft zur Strafverfolgung der angezeigten Mitarbeiterinnen des Betreibungsamts sowie des C.________s der Gemeindeverwaltung, alles Beamtinnen bzw.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beschwerdeführenden Person,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2.2</w:t>
      </w:r>
    </w:p>
    <w:p>
      <w:r>
        <w:t>Die Anklagekammer hat im angefochtenen Entscheid nachvollziehbar dargelegt, dass es sich bei den angezeigten Beschwerdegegnerinnen um vom Gemeinderat gewählte Betreibungsbeamtinnen handelt bzw. Angestellte in öffentlich-rechtlichen Arbeitsverhältnissen. Ihre Tätigkeiten sind von Gesetzes wegen sowie aufgrund der Wahlen und der bestehenden öffentlich-rechtlichen Arbeitsverträge legitimiert. Sie geben nicht vor, Trägerinnen eines Amts zu sein, welches sie gar nicht innehaben, vielmehr sind sie Trägerinnen des entsprechenden Amts. Eine Amtsanmassung gemäss Art. 287 StGB scheidet deshalb von vornherein aus. Die Anklagekammer erwog folglich, es lägen keine Anhaltspunkte für ein strafrechtlich relevantes Fehlverhalten der Angezeigten vor und erteilte aus diesem Grund die Ermächtigung zu deren strafrechtlicher Verfolgung nicht. Inwiefern B.________ sich in seiner Funktion als C.________ der Gemeinde strafrechtlich verhalten haben soll, ergebe sich überdies nicht aus der Anzeige. Er arbeite nicht auf dem Betreibungsamt. Die Ausführungen in der Anzeige würden sich einzig gegen das Betreibungsamt richten.</w:t>
      </w:r>
    </w:p>
    <w:p>
      <w:r>
        <w:t>Mit diesen Erwägungen setzt sich der Beschwerdeführer nicht sachgerecht auseinander. Er behauptet lediglich, dass angeblich sämtliche Betreibungsämter gegen geltendes Gesetz verstossen würden, da der Beamtenstatus abgeschafft worden sei, Art. 2 des SchKG aber vorsehe, dass jedes Betreibungsamt von einem Beamten geleitet werde. Der Gesetzgeber habe es versäumt, das Gesetz nach Abschaffung des Beamtenstatus zu ändern, womit sämtliche Betreibungsämter ohne Leitung durch Beamte handeln würden, was gesetzwidrig sei. Diese Ausführungen sind indes untauglich, die offensichtlich zutreffende Einschätzung der Anklagekammer, die in der Strafanzeige erhobenen Vorwürfe seien von vornherein nicht geeignet, einen Anfangsverdacht für ein strafbares Verhalten der Beschwerdegegnerinnen und Beschwerdegegner zu begründen, in Frage zu stellen.</w:t>
      </w:r>
    </w:p>
    <w:p>
      <w:r>
        <w:rPr>
          <w:b/>
        </w:rPr>
        <w:t>E. 3</w:t>
      </w:r>
    </w:p>
    <w:p>
      <w:r>
        <w:t>Dieses Urteil wird den Parteien, der Staatsanwaltschaft des Kantons St. Gallen, Kantonales Untersuchungsamt, und der Anklagekammer des Kantons St. Gallen schriftlich mitgeteilt.</w:t>
      </w:r>
    </w:p>
    <w:p>
      <w:r>
        <w:t>Lausanne, 26. Januar 2023</w:t>
      </w:r>
    </w:p>
    <w:p>
      <w:r>
        <w:t>Im Namen der I. öffentlich-rechtlichen Abteilung</w:t>
      </w:r>
    </w:p>
    <w:p>
      <w:r>
        <w:t>des Schweizerischen Bundesgerichts</w:t>
      </w:r>
    </w:p>
    <w:p>
      <w:r>
        <w:t>Das präsidierende Mitglied: Müller</w:t>
      </w:r>
    </w:p>
    <w:p>
      <w:r>
        <w:t>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