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388/2020 vom 13. Juli 2020</w:t>
      </w:r>
    </w:p>
    <w:p>
      <w:r>
        <w:t>Bundesgericht, 2020-07-13, DE</w:t>
      </w:r>
    </w:p>
    <w:p>
      <w:r>
        <w:rPr>
          <w:b/>
        </w:rPr>
        <w:t xml:space="preserve">Quelle: </w:t>
      </w:r>
      <w:r>
        <w:t>https://mcp.opencaselaw.ch/entscheid/bger_1C_388_2020</w:t>
      </w:r>
    </w:p>
    <w:p>
      <w:r>
        <w:t>FR: TF 1C 388/2020 du 13 juillet 2020</w:t>
      </w:r>
    </w:p>
    <w:p>
      <w:r>
        <w:t>IT: TF 1C 388/2020 del 13 luglio 2020</w:t>
      </w:r>
    </w:p>
    <w:p>
      <w:pPr>
        <w:pStyle w:val="Heading2"/>
      </w:pPr>
      <w:r>
        <w:t>Regeste</w:t>
      </w:r>
    </w:p>
    <w:p>
      <w:r>
        <w:t>Auslieferung an die Republik Kosovo | Rechtshilfe und Auslieferung</w:t>
      </w:r>
    </w:p>
    <w:p>
      <w:pPr>
        <w:pStyle w:val="Heading2"/>
      </w:pPr>
      <w:r>
        <w:t>Erwägungen</w:t>
      </w:r>
    </w:p>
    <w:p>
      <w:r>
        <w:rPr>
          <w:b/>
        </w:rPr>
        <w:t>E. 1</w:t>
      </w:r>
    </w:p>
    <w:p>
      <w:r>
        <w:t>Gemäss Art. 17a IRSG gilt das Gebot der raschen Erledigung. Nach dessen Absatz 1 erledigt die zuständige Behörde die Ersuchen beförderlich. Sie entscheidet ohne Verzug. Diese Bestimmung gilt auch für das Bundesgericht (Urteil 1C_284/2011 vom 18. Juli 2011 E. 1 mit Hinweis). Wie die folgenden Erwägungen zeigen, ist die vorliegende Sache spruchreif. Für die beantragte Sistierung des bundesgerichtlichen Verfahrens besteht deshalb kein Anlass.</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145 IV 99 E. 1.2 S. 104 f.; 134 IV 156 E. 1.3.4 S. 161). Gemäss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eine Auslieferung und damit ein Sachgebiet, bei dem die Beschwerde nach Art. 84 Abs. 1 BGG insoweit möglich ist. Entgegen der Auffassung des Beschwerdeführers kann jedoch kein besonders bedeutender Fall angenommen werden. Die Vorinstanz hat sich mit sämtlichen Einwänden des Beschwerdeführers auseinandergesetzt. Ihre Erwägungen, auf die gemäss Art. 109 Abs. 3 BGG vollumfänglich verwiesen werden kann, stützen sich auf die bundesgerichtliche Rechtsprechung und lassen keine Bundesrechtsverletzung erkennen. Dies gilt namentlich, soweit die Vorinstanz zum Schluss kommt, die Auslieferung stehe in Einklang mit den menschenrechtlichen Verpflichtungen der Schweiz und sei mit Blick auf den Anspruch auf Privat- und Familienleben zulässig (angefochtener Entscheid E. 3, insb. E. 3.3 und 3.5; E. 4, insb. E. 4.3). Rechtsfragen von grundsätzlicher Bedeutung stellen sich nicht. Auch sonst wie kommt der Angelegenheit keine aussergewöhnliche Tragweite zu. Für das Bundesgericht besteht deshalb kein Anlass, die Sache an die Hand zu nehmen. Die Beschwerde ist demnach unzulässig.</w:t>
      </w:r>
    </w:p>
    <w:p>
      <w:r>
        <w:rPr>
          <w:b/>
        </w:rPr>
        <w:t>E. 3</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