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388/2008 vom 24. November 2008</w:t>
      </w:r>
    </w:p>
    <w:p>
      <w:r>
        <w:t>Bundesgericht, 2008-11-24, FR</w:t>
      </w:r>
    </w:p>
    <w:p>
      <w:r>
        <w:rPr>
          <w:b/>
        </w:rPr>
        <w:t xml:space="preserve">Quelle: </w:t>
      </w:r>
      <w:r>
        <w:t>https://mcp.opencaselaw.ch/entscheid/bger_1C_388_2008</w:t>
      </w:r>
    </w:p>
    <w:p>
      <w:r>
        <w:t>FR: TF 1C 388/2008 du 24 novembre 2008</w:t>
      </w:r>
    </w:p>
    <w:p>
      <w:r>
        <w:t>IT: TF 1C 388/2008 del 24 novembre 2008</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Il peut faire l'objet d'un recours en matière de droit public (art. 82 al. 1 let. a et 86 al. 1 let. a LTF). Le motif d'exclusion de l' art. 83 let. b LTF n'entre pas en ligne de compte, dès lors qu'il s'agit en l'espèce de naturalisation facilitée et non pas de naturalisation ordinaire (cf. arrêt du Tribunal fédéral 5A.7/2003 du 25 août 2003 et les références). Pour le surplus, le recourant a la qualité pour recourir au sens de l' art. 89 al. 1 LTF et les conditions formelles de recevabilité sont remplies, de sorte qu'il y a lieu d'entrer en matière.</w:t>
      </w:r>
    </w:p>
    <w:p>
      <w:r>
        <w:rPr>
          <w:b/>
        </w:rPr>
        <w:t>E. 2</w:t>
      </w:r>
    </w:p>
    <w:p>
      <w:r>
        <w:t>Le recourant conteste avoir obtenu la nationalité suisse par des déclarations mensongères et reproche au Tribunal administratif fédéral d'avoir abusé de son pouvoir d'appréciation en se fondant sur des critères inappropriés pour établir la présomption qu'il avait menti ou dissimulé des faits essentiels. Il soutient également que le Tribunal administratif fédéral n'a pas tenu compte des circonstances pertinentes dans l'examen des éléments avancés pour renverser cette présomption.</w:t>
      </w:r>
    </w:p>
    <w:p>
      <w:r>
        <w:rPr>
          <w:b/>
        </w:rPr>
        <w:t>E. 3</w:t>
      </w:r>
    </w:p>
    <w:p>
      <w:r>
        <w:t>En vertu de l' art. 27 al. 1 LN ,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rPr>
          <w:b/>
        </w:rPr>
        <w:t>E. 3.1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rPr>
          <w:b/>
        </w:rPr>
        <w:t>E. 3.2</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3.3</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(arrêts 1C_294/2007 du 30 novembre 2007 consid. 3.6; 5A.12/2006 du 23 août 2006 consid. 2.3).</w:t>
      </w:r>
    </w:p>
    <w:p>
      <w:r>
        <w:rPr>
          <w:b/>
        </w:rPr>
        <w:t>E. 4</w:t>
      </w:r>
    </w:p>
    <w:p>
      <w:r>
        <w:t>En l'espèce, le Tribunal administratif fédéral a présumé que la naturalisation facilitée avait été obtenue frauduleusement, "la ferme intention des époux de poursuivre la communauté conjugale au-delà de la décision de naturalisation facilitée" faisant défaut au moment de la signature de la déclaration commune du 25 juin 2003.</w:t>
      </w:r>
    </w:p>
    <w:p>
      <w:r>
        <w:rPr>
          <w:b/>
        </w:rPr>
        <w:t>E. 4.1</w:t>
      </w:r>
    </w:p>
    <w:p>
      <w:r>
        <w:t>Le Tribunal administratif fédéral relève que le laps de temps particulièrement court entre la déclaration commune (juin 2003), l'octroi de la naturalisation facilitée (août 2003), la cessation de la vie commune et le dépôt d'une requête commune de divorce (avril 2004), le prononcé définitif et exécutoire du divorce (septembre 2004) et le remariage de l'intéressé (octobre 2004) fonde la présomption que le couple n'avait plus la volonté de maintenir une communauté conjugale stable au sens de l' art. 27 LN , lors de la signature de la déclaration commune sur la stabilité de l'union et à plus forte raison lors de l'octroi de la naturalisation. Selon le Tribunal administratif, cette présomption est renforcée par d'autres éléments. Il met en évidence le fait que les ex-époux ont renoncé à toute prétention en partage de la prévoyance professionnelle accumulée pendant l'union conjugale. Il ajoute que "selon les usages de la culture d'origine" du recourant, il est inhabituel d'épouser une femme plus âgée, mère et divorcée. Enfin, la déclaration de l'ex-femme de l'intéressé selon laquelle les problèmes conjugaux du couple ont pour cause un désaccord sur la volonté de fonder une famille et datent de la fin de l'année 2001, constitue un indice supplémentaire pour fonder la présomption.</w:t>
      </w:r>
    </w:p>
    <w:p>
      <w:r>
        <w:rPr>
          <w:b/>
        </w:rPr>
        <w:t>E. 4.2</w:t>
      </w:r>
    </w:p>
    <w:p>
      <w:r>
        <w:t>Il est vrai, comme le relève le recourant, que le Tribunal administratif fédéral retient de façon inexacte que l'intéressé cherchait à "régulariser" son statut en Suisse, puisqu'il ne ressort pas du dossier qu'il ait été en situation illégale dans ce pays. Il était en outre vain de faire référence aux "usages de la culture d'origine" du recourant, ce critère étant sans pertinence pour renforcer la présomption. Il n'en demeure pas moins que les autres éléments avancés suffisent à établir celle-ci. Au demeurant, le recourant ne conteste pas que l'enchaînement rapide des événements, le désaccord du couple au sujet d'une éventuelle descendance, l'absence de partage des avoirs de prévoyance professionnelle et la déclaration de son ex-épouse établissant que les problèmes conjugaux remontent à fin 2001 puissent fonder une telle présomption. L'intéressé relève seulement qu'il aurait abandonné une situation professionnelle aisée dans son pays pour pouvoir rejoindre son ex-épouse en Suisse. Cet élément, pour autant qu'il puisse être tenu pour établi au regard des pièces versées au dossier, n'est pas en mesure d'affaiblir la présomption sur laquelle se fonde l'autorité puisqu'il est bien antérieur à la signature de la déclaration commune. Vu ce qui précède, le Tribunal administratif fédéral n'a pas fait preuve d'arbitraire dans l'examen des différents éléments qui fondent la présomption de fait.</w:t>
      </w:r>
    </w:p>
    <w:p>
      <w:r>
        <w:rPr>
          <w:b/>
        </w:rPr>
        <w:t>E. 5</w:t>
      </w:r>
    </w:p>
    <w:p>
      <w:r>
        <w:t>Selon la jurisprudence précitée, il incombait dès lors au recourant de renverser cette présomption en rendant vraisemblable, soit la survenance d'un événement extraordinaire, susceptible d'expliquer une dégradation aussi rapide du lien conjugal après un peu plus de huit ans de mariage, soit l'absence de conscience de la gravité de ses problèmes de couple au moment de la signature de la déclaration commune.</w:t>
      </w:r>
    </w:p>
    <w:p>
      <w:r>
        <w:rPr>
          <w:b/>
        </w:rPr>
        <w:t>E. 5.1</w:t>
      </w:r>
    </w:p>
    <w:p>
      <w:r>
        <w:t>Le recourant tente de renverser la présomption en se fondant sur une attestation selon laquelle il aurait passé des vacances avec son ex-épouse à trois reprises entre 2001 et 2003. Il avance également que, durant l'année 2003, il a partagé avec son ex-épouse les charges de la vie commune et participé au remboursement du crédit accordé à cette dernière pour son atelier de stylisme sur ongles ("onglerie"). Il s'appuie enfin sur les témoignages écrits de plusieurs personnes dont celui de son ex-épouse, de la fille, de la soeur et du beau-frère de cette dernière, qui le décrivent comme une personne honnête, travailleuse et fiable.</w:t>
      </w:r>
    </w:p>
    <w:p>
      <w:r>
        <w:rPr>
          <w:b/>
        </w:rPr>
        <w:t>E. 5.2</w:t>
      </w:r>
    </w:p>
    <w:p>
      <w:r>
        <w:t>Cela étant, le recourant ne conteste pas qu'un des éléments qui a conduit son couple au divorce réside dans son désir de fonder une famille, ni que le désaccord du couple sur cette question n'est pas survenu en avril 2004 au moment de la décision de divorcer, mais qu'il est bien antérieur. En effet, ainsi que le retient le Tribunal administratif, le désir du recourant d'avoir des enfants était essentiel au point qu'un refus de son ex-épouse a, entre autres motifs que l'intéressé a préféré taire, conduit le couple au divorce. Dans sa lettre de témoignage, l'ex-épouse du recourant écrit que la décision de divorcer a été prise pour que ce dernier ait "toutes les chances d'être papa". Elle a également déclaré que les problèmes conjugaux avaient débuté vers la fin de l'année 2001, le couple ayant des divergences au sujet d'une éventuelle descendance. Dès lors, le désaccord du couple sur cette question n'est pas né en avril 2004, mais il existait depuis la fin de l'année 2001. Dans ces circonstances, l'intéressé ne rend pas vraisemblable qu'il n'avait pas conscience de la gravité des problèmes rencontrés par leur couple au moment de la signature de la déclaration commune, en juin 2003. De plus, il n'avance aucun autre motif susceptible d'expliquer la cessation de la communauté conjugale dans un laps de temps aussi bref, après plus de huit ans de mariage. Dès lors, mis en balance avec le désaccord du couple quant à la volonté de fonder une famille, les éléments avancés par le recourant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