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1C_387/2010 vom 6. Dezember 2010</w:t>
      </w:r>
    </w:p>
    <w:p>
      <w:r>
        <w:t>Bundesgericht, 2010-12-06, FR</w:t>
      </w:r>
    </w:p>
    <w:p>
      <w:r>
        <w:rPr>
          <w:b/>
        </w:rPr>
        <w:t xml:space="preserve">Quelle: </w:t>
      </w:r>
      <w:r>
        <w:t>https://mcp.opencaselaw.ch/entscheid/bger_1C_387_2010</w:t>
      </w:r>
    </w:p>
    <w:p>
      <w:r>
        <w:t>FR: TF 1C_387/2010 du 6 décembre 2010</w:t>
      </w:r>
    </w:p>
    <w:p>
      <w:r>
        <w:t>IT: TF 1C_387/2010 del 6 dicembre 2010</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La recourante conteste avoir obtenu la naturalisation par des déclarations mensongères et reproche au Tribunal administratif fédéral d'avoir abusé de son pouvoir d'appréciation dans l'examen des éléments fondant le retrait de la naturalisation et d'avoir ainsi rendu une décision contraire à l'art. 41 de la loi fédérale du 29 septembre 1952 sur l'acquisition et la perte de la nationalité suisse (LN; RS 141.0) et au principe de la proportionnalité.</w:t>
      </w:r>
    </w:p>
    <w:p>
      <w:r>
        <w:rPr>
          <w:b/>
        </w:rPr>
        <w:t>E. 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considéré que le laps de temps relativement court entre la déclaration commune (septembre 2003), l'octroi de la naturalisation (novembre 2003), le dépôt de la requête de mesures protectrices de l'union conjugale (début juin 2004), la séparation effective des conjoints (18 juin 2004), la signature de la transaction extrajudiciaire intervenue dans le cadre des mesures protectrices (juillet 2004) et son homologation par le juge civil (août 2004) fondait la présomption que la naturalisation facilitée avait été obtenue frauduleusement. Pour l'instance précédente, cette présomption est renforcée par différents éléments qui prouvent que le couple ne vivait plus en parfaite harmonie au moment de la signature de la déclaration commune: la recourante s'adonnait à la pratique de la prostitution et exploitait un salon de massage au mois de décembre 2003 déjà, et ce à l'insu de son mari; l'accomplissement de cette activité ne pouvait débuter sans des mesures d'organisation nécessitant un certain temps; l'ex-époux a déclaré que le couple avait connu des hauts et des bas entre 2002 et 2003, lors de son audition devant la police.</w:t>
      </w:r>
    </w:p>
    <w:p>
      <w:r>
        <w:t>La recourante ne prétend pas que les faits, tels qu'ils ont été rapportés dans l'arrêt attaqué, seraient erronés ou auraient été établis de façon manifestement inexacte ( art. 97 al. 1 LTF ). Elle ne discute pas vraiment non plus la présomption de fait, laquelle peut du reste effectivement se fonder sur un enchaînement rapide des événements. Conformément à la jurisprudence précitée, il s'agit donc uniquement de déterminer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2.3</w:t>
      </w:r>
    </w:p>
    <w:p>
      <w:r>
        <w:t>Dans son écriture, la recourante se borne à affirmer que c'est à tort que le Tribunal administratif fédéral n'a pas considéré comme déterminant pour renverser la présomption le manque de ressources financières du couple et le fait que son mari la privait, depuis le début de l'année 2004, des moyens nécessaires à son entretien et à celui de sa fille. C'était pour cette raison qu'elle avait décidé d'ouvrir un salon de massage. Cette critique, essentiellement appellatoire, ne répond pas à l'argumentation de l'instance précédente qui a exposé de façon convaincante pourquoi la recourante n'avait pas rendu vraisemblable que le différend d'ordre pécuniaire qui est censé l'avoir opposée à son époux consistait en un événement extraordinaire susceptible d'expliquer une dégradation rapide du lien conjugal (cf. arrêt attaqué consid. 6.2). Le Tribunal administratif fédéral a en effet retenu en substance qu'aucune preuve tangible n'avait été apportée au sujet du refus subit de l'époux d'allouer les ressources nécessaires à l'entretien de son épouse et à celui de la fille de celle-ci, alors que l'intéressée n'a jamais prétendu avoir été démunie durant la période de plus de sept ans qui s'était écoulée depuis leur mariage.</w:t>
      </w:r>
    </w:p>
    <w:p>
      <w:r>
        <w:t>La recourante avance encore en vain que la raison propre de la séparation serait l'intransigeance de l'époux concernant l'activité de prostitution, "licite et utile", à laquelle elle s'adonnait. Non seulement le fait d'exploiter un salon de massage et de faire commerce de ses charmes n'est pas représentatif de la communauté conjugale au sens de la jurisprudence précitée; cet élément ne permet de surcroît pas d'établir qu'en septembre 2003, au moment de la signature de la déclaration commune, l'harmonie existait toujours au sein du couple au point d'envisager la continuation de leur vie maritale pour une période durable. La recourante n'a en outre fait entendre aucun témoin, produit aucune pièce qui aurait permis de se prononcer sur l'intensité du lien conjugal existant entre les époux durant la période déterminante.</w:t>
      </w:r>
    </w:p>
    <w:p>
      <w:r>
        <w:t>Par ailleurs, le fait que B.________ a déclaré sur son honneur, en mai 2005, que la communauté conjugale était stable au moment de la signature de la déclaration commune, n'est pas, à lui seul, à même de prouver l'existence d'une véritable communauté conjugale: il n'est du reste pas de nature à expliquer la fin subite de la vie d'un couple marié depuis près de sept ans.</w:t>
      </w:r>
    </w:p>
    <w:p>
      <w:r>
        <w:t>Enfin, le fait - dont se prévaut la recourante - qu'elle ait attendu sept ans de mariage avant de demander la naturalisation facilitée et que le mariage se soit déroulé de façon harmonieuse pendant de nombreuses années est sans pertinence pour l'examen de la question de savoir s'il y a eu obtention frauduleuse de naturalisation au sens de l' art. 41 LN , vu la jurisprudence susmentionnée.</w:t>
      </w:r>
    </w:p>
    <w:p>
      <w:r>
        <w:rPr>
          <w:b/>
        </w:rPr>
        <w:t>E. 2.4</w:t>
      </w:r>
    </w:p>
    <w:p>
      <w:r>
        <w:t>En définitive, les éléments avancés par la recourante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à la recourante.</w:t>
      </w:r>
    </w:p>
    <w:p>
      <w:r>
        <w:rPr>
          <w:b/>
        </w:rPr>
        <w:t>E. 3</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