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386/2008 vom 29. Januar 2009</w:t>
      </w:r>
    </w:p>
    <w:p>
      <w:r>
        <w:t>Bundesgericht, 2009-01-29, DE</w:t>
      </w:r>
    </w:p>
    <w:p>
      <w:r>
        <w:rPr>
          <w:b/>
        </w:rPr>
        <w:t xml:space="preserve">Quelle: </w:t>
      </w:r>
      <w:r>
        <w:t>https://mcp.opencaselaw.ch/entscheid/bger_1C_386_2008</w:t>
      </w:r>
    </w:p>
    <w:p>
      <w:r>
        <w:t>FR: TF 1C 386/2008 du 29 janvier 2009</w:t>
      </w:r>
    </w:p>
    <w:p>
      <w:r>
        <w:t>IT: TF 1C 386/2008 del 29 gennaio 2009</w:t>
      </w:r>
    </w:p>
    <w:p>
      <w:pPr>
        <w:pStyle w:val="Heading2"/>
      </w:pPr>
      <w:r>
        <w:t>Regeste</w:t>
      </w:r>
    </w:p>
    <w:p>
      <w:r>
        <w:t>380/220-kV-Leitung Beznau-Birr, Teilstrecke Rüfenach (Mast Nr. 20 bis Mast Nr. 37) | Ökologisches Gleichgewicht</w:t>
      </w:r>
    </w:p>
    <w:p>
      <w:pPr>
        <w:pStyle w:val="Heading2"/>
      </w:pPr>
      <w:r>
        <w:t>Erwägungen</w:t>
      </w:r>
    </w:p>
    <w:p>
      <w:r>
        <w:rPr>
          <w:b/>
        </w:rPr>
        <w:t>E. 1</w:t>
      </w:r>
    </w:p>
    <w:p>
      <w:r>
        <w:t>Der angefochtene Entscheid des Bundesverwaltungsgerichts ( Art. 86 Abs. 1 lit. a BGG ) stützt sich in erster Linie auf Bundesverwaltungsrecht (Bundesgesetz betreffend die elektrischen Schwach- und Starkstromanlagen vom 24. Juni 1902, [Elektrizitätsgesetz, EleG; SR 734.0], USG, RPG etc.) und betrifft demzufolge eine öffentlich-rechtliche Angelegenheit im Sinne von Art. 82 lit. a BGG . Ein Ausschlussgrund nach Art. 83 BGG liegt nicht vor. Beim angefochtenen Entscheid handelt es sich um einen Endentscheid i.S.v. Art. 90 BGG . Mit dem Urteil hat das Bundesverwaltungsgericht die Teilplangenehmigung durch das BFE und damit die Linienführung der Starkstromleitung für rechtmässig befunden. Die Beschwerdeführer als in unmittelbarer Nähe der Hochspannungsleitung Wohnende und zum Teil formell Enteignete (vgl. Ziff. 6 des Dispositivs der Teilplangenehmigung vom 31. Oktober 2006) sind davon in besonderem Masse berührt und grundsätzlich zur Beschwerde legitimiert (zur Legitimation gemäss Art. 89 Abs. 1 BGG siehe BGE 133 II 249 E. 1.3.3 S. 253 f.). Zu ihnen gehört auch die Gemeinde Riniken. Sie kann sich zudem auf Art. 89 Abs. 2 lit. d BGG i.V.m. Art. 57 USG berufen, wonach Gemeinden berechtigt sind, gegen Verfügungen der kantonalen und der Bundesbehörden in Anwendung dieses Gesetzes die Rechtsmittel des eidgenössischen und kantonalen Rechts zu ergreifen, sofern sie dadurch berührt werden und ein schutzwürdiges Interesse an der Aufhebung oder Änderung haben. Die übrigen Sachurteilsvoraussetzungen sind erfüllt und geben zu keinen Bemerkungen Anlass.</w:t>
      </w:r>
    </w:p>
    <w:p>
      <w:r>
        <w:rPr>
          <w:b/>
        </w:rPr>
        <w:t>E. 2</w:t>
      </w:r>
    </w:p>
    <w:p>
      <w:r>
        <w:t>Die Beschwerdeführer rügen vorab, sie hätten in ihrer Stellungnahme vom 7. Januar 2008 ausdrücklich eine Beschwerdeverhandlung mit Augenschein vor Ort verlangt. Trotzdem habe das Bundesverwaltungsgericht sein Urteil vom 2. Juli 2008 ohne Durchführung einer öffentlichen Parteiverhandlung gefällt. Damit habe es nicht nur gegen die klare Anordnung von Art. 40 Abs. 1 lit. a des Verwaltungsgerichtsgesetzes vom 17. Juni 2005 (VGG; SR 173.32) verstossen, sondern auch den konventions- und verfassungsrechtlich geschützten Anspruch der Beschwerdeführer auf Durchführung einer öffentlichen Verhandlung ( Art. 6 Ziff. 1 EMRK , Art. 30 BV ) verletzt.</w:t>
      </w:r>
    </w:p>
    <w:p>
      <w:r>
        <w:rPr>
          <w:b/>
        </w:rPr>
        <w:t>E. 2.1</w:t>
      </w:r>
    </w:p>
    <w:p>
      <w:r>
        <w:t>Nach Art. 6 Ziff. 1 EMRK besteht in Verfahren über zivilrechtliche Streitigkeiten ein Anspruch auf öffentliche Verhandlung, sofern die Parteien nicht ausdrücklich oder stillschweigend darauf verzichten. Ein Entscheid über zivilrechtliche Ansprüche im Sinne von Art. 6 Ziff. 1 EMRK liegt unter anderem vor, wenn eine bau- oder planungsrechtliche Massnahme direkte Auswirkungen auf die Ausübung der Eigentumsrechte der Grundeigentümer hat ( BGE 127 I 44 E. 2 S. 45 ; 122 I 294 E. 3e S. 300 ; 121 I 30 E. 5c S. 34 f.). Art. 40 Abs. 1 lit. a VGG bestimmt, dass der Instruktionsrichter bzw. die Instruktionsrichterin, soweit zivilrechtliche Ansprüche oder strafrechtliche Anklagen im Sinn von Art. 6 Ziff. 1 EMRK zu beurteilen sind, eine öffentliche Parteiverhandlung anordnet, wenn eine Partei es verlangt.</w:t>
      </w:r>
    </w:p>
    <w:p>
      <w:r>
        <w:rPr>
          <w:b/>
        </w:rPr>
        <w:t>E. 2.2</w:t>
      </w:r>
    </w:p>
    <w:p>
      <w:r>
        <w:t>Das Verwaltungsgericht äussert sich in E. 15.5 des angefochtenen Urteils zur Problematik und zieht dazu in Erwägung, aufgrund der sich bei den Akten befindlichen Pläne erübrige sich die beantragte Durchführung eines Augenscheins und einer Instruktionsverhandlung mit Parteibefragung. Die Pläne würden die örtlichen Gegebenheiten in genügender Art und Weise zeigen. Folglich sei der diesbezügliche Beweisantrag der Beschwerdeführer abzuweisen. In seiner Vernehmlassung vor Bundesgericht führt es ergänzend aus, es habe diesen Beweisantrag im Rahmen der antizipierten Beweiswürdigung abgewiesen. Da die Beschwerdeführer anwaltlich vertreten gewesen seien, habe das Bundesverwaltungsgericht davon ausgehen dürfen, dass dem Rechtsvertreter der Unterschied zwischen einem Antrag auf Durchführung einer öffentlichen Verhandlung i.S.v. Art. 6 Ziff. 1 EMRK und einem Beweisantrag bekannt sei. Es habe darum den ausschliesslich im Rahmen der Beweiserhebung gestellten Antrag in keiner Weise als einen solchen auf Durchführung einer öffentlichen Verhandlung entgegen nehmen müssen.</w:t>
      </w:r>
    </w:p>
    <w:p>
      <w:r>
        <w:rPr>
          <w:b/>
        </w:rPr>
        <w:t>E. 2.3.1</w:t>
      </w:r>
    </w:p>
    <w:p>
      <w:r>
        <w:t>Die umstrittene Hochspannungsleitung betrifft die Beschwerdeführer als unmittelbare Anwohner. Sie machen einen Eingriff in ihre nachbarrechtlichen Abwehrrechte geltend, da sie erhebliche Wertverluste ihres Grundeigentums befürchten. Zudem machen sie auf die zu erwartenden Lärmimmissionen aufmerksam und bezweifeln die Einhaltung der gesetzlichen Grenzwerte für nichtionisierende Strahlung insgesamt und konkret auch bei einer explizit genannten Liegenschaft (vgl. dazu BGE 128 I 59 E. 2a/cc S. 61 f.). Bei denjenigen Grundeigentümern, die gemäss Ziff. 6 des Dispositivs der Teilplangenehmigung des BFE direkt in ihrem Grundeigentum von einer formellen Enteignung betroffen sind, ergibt sich der Eingriff in die zivilrechtlichen Ansprüche aus dem Entscheiddispositiv selber. Art. 6 Ziff. 1 EMRK ist auf alle Streitsachen anwendbar, deren Ausgang das Eigentumsrecht sofort oder in Zukunft in einer für den Eigentümer nachteiligen oder auch vorteilhaften Weise berührt. Auch bei Streit über Nutzungsregelungen ist Art. 6 EMRK anwendbar, selbst wenn die Dispositionsfähigkeit des Eigentümers durch derartige Regelungen nicht in erheblicher Weise beeinträchtigt wird (Frowein/Peukert, EMRK-Kommentar, 2. Aufl. 1996, S. 187; vgl. BGE 122 I 294 E. 3e S. 300 ; 121 I 30 E. 5c S. 34 f.). Davon zu unterscheiden sind Drittinterventionen (z.B. von Nachbarn) gegen die Erteilung einer Bau- oder sonstigen behördlichen Genehmigung, die nur insoweit vom Anwendungsbereich des Art. 6 Abs. 1 EMRK erfasst werden, als auf das Eigentum gegründete Abwehrrechte geltend gemacht werden (vgl. BGE 128 I 59 E. 2a/bb S. 61; Urteil des Bundesgerichts 1A.151/2002 vom 22. Januar 2003 in URP 2003 S. 235 E. 2.1; Urteil des EGMR vom 10. April 2007 i.S. Stiftung Giessbach; zum Ganzen: FROWEIN/PEUKERT, a.a.O., S. 187 und 191; MARK E. VILLIGER, Handbuch der EMRK, 2. Auflage 1999 Rz. 380 und 384; RUTH HERZOG, Art. 6 EMRK und kantonale Verwaltungsrechtspflege, 1995, S. 153 ff.).</w:t>
      </w:r>
    </w:p>
    <w:p>
      <w:r>
        <w:rPr>
          <w:b/>
        </w:rPr>
        <w:t>E. 2.3.2</w:t>
      </w:r>
    </w:p>
    <w:p>
      <w:r>
        <w:t>Dass die Beschwerdeführer im Verfahren vor Bundesverwaltungsgericht ihre Eigentumsrechte an ihren Grundstücken verteidigten und sich in diesem Zusammenhang auf Art. 6 Ziff. 1 EMRK berufen konnten, bedurfte keiner ausführlichen Erörterung in der Beschwerde, sondern war aus den Akten klar ersichtlich und von der Vorinstanz im Rahmen der Rechtsanwendung von Amtes wegen zu beachten (vgl. Art. 37 VGG i.V.m. Art. 12 und 62 VwVG ).</w:t>
      </w:r>
    </w:p>
    <w:p>
      <w:r>
        <w:rPr>
          <w:b/>
        </w:rPr>
        <w:t>E. 2.4</w:t>
      </w:r>
    </w:p>
    <w:p>
      <w:r>
        <w:t>Die Rechtsprechung des Bundesgerichts und der Strassburger Organe anerkennt, dass auf die Durchführung einer öffentlichen Verhandlung verzichtet werden kann. Der Verzicht muss - ausdrücklich oder stillschweigend erfolgt - eindeutig und unmissverständlich sein. Ein Verzicht wird insbesondere angenommen, wenn kein Antrag auf Durchführung einer öffentlichen Verhandlung gestellt wird, obwohl das Gericht in der Regel nicht öffentlich verhandelt (vgl. BGE 127 I 44 E. 2e/aa S. 48; 122 V 47 E. 2d S. 52 mit zahlreichen Hinweisen). Diese Konstellation liegt hier nicht vor, haben doch die Beschwerdeführer in ihrer Stellungnahme vom 7. Januar 2008 nicht bloss um einen Augenschein, sondern ausdrücklich um eine "Beschwerdeverhandlung mit Augenschein vor Ort" ersucht (vgl. Art. 40 Abs. 1 lit. a VVG ). Das Bundesverwaltungsgericht vertritt in seiner Vernehmlassung den Standpunkt, die Durchführung einer öffentlichen Verhandlung könne nicht im Rahmen eines Beweisantrages verlangt werden. Gründe für eine solche Einschränkung sind nicht ersichtlich. Auch Art. 40 VGG macht diesbezüglich keine Vorbehalte. Ebensowenig liegen besondere Gründe vor oder wurden solche geltend gemacht, die einer öffentlichen Verhandlung entgegenstehen könnten (vgl. BGE 122 V 47 E. 3b S. 55 ff. mit Hinweisen). Mit Blick auf den Grundsatz von Treu und Glauben kann nicht angenommen werden, die Beschwerdeführer hätten durch ihr Verhalten im Verfahren vor dem Bundesverwaltungsgericht auf die Durchführung einer öffentlichen Verhandlung verzichtet.</w:t>
      </w:r>
    </w:p>
    <w:p>
      <w:r>
        <w:rPr>
          <w:b/>
        </w:rPr>
        <w:t>E. 2.5</w:t>
      </w:r>
    </w:p>
    <w:p>
      <w:r>
        <w:t>Der Verzicht des Bundesverwaltungsgerichts auf eine öffentliche Verhandlung stellt einen Verfahrensmangel dar, der nicht im bundesgerichtlichen Verfahren behoben werden kann, sondern zur Rückweisung der Angelegenheit an die Vorinstanz zur Durchführung einer öffentlichen Verhandlung und zu neuer Entscheidung führt ( Art. 107 Abs. 2 BGG ). Unter diesen Umständen ist auf die übrigen Rügen der Beschwerdeführer im vorliegenden bundesgerichtlichen Verfahren nicht weiter einzugehen.</w:t>
      </w:r>
    </w:p>
    <w:p>
      <w:r>
        <w:rPr>
          <w:b/>
        </w:rPr>
        <w:t>E. 3</w:t>
      </w:r>
    </w:p>
    <w:p>
      <w:r>
        <w:t>Es ergibt sich, dass die Beschwerde gutzuheissen und der angefochtene Entscheid aufzuheben ist. Die Sache ist an das Bundesverwaltungsgericht zurückzuweisen. Die NOK hat als private Beschwerdegegnerin die vollumfängliche Abweisung aller Rechtsbegehren der Beschwerdeführer verlangt. Angesichts des Ausgangs des bundesgerichtlichen Verfahrens sind ihr deshalb die Gerichtskosten aufzuerlegen ( Art. 66 Abs. 1 BGG ). Sie hat die anwaltlich vertretenen Beschwerdeführer zudem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