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1C_383/2018 vom 15. November 2018</w:t>
      </w:r>
    </w:p>
    <w:p>
      <w:r>
        <w:t>Bundesgericht, 2018-11-15, DE</w:t>
      </w:r>
    </w:p>
    <w:p>
      <w:r>
        <w:rPr>
          <w:b/>
        </w:rPr>
        <w:t xml:space="preserve">Quelle: </w:t>
      </w:r>
      <w:r>
        <w:t>https://mcp.opencaselaw.ch/entscheid/bger_1C_383_2018</w:t>
      </w:r>
    </w:p>
    <w:p>
      <w:r>
        <w:t>FR: TF 1C_383/2018 du 15 novembre 2018</w:t>
      </w:r>
    </w:p>
    <w:p>
      <w:r>
        <w:t>IT: TF 1C_383/2018 del 15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1C_383/2018</w:t>
      </w:r>
    </w:p>
    <w:p>
      <w:r>
        <w:t>Verfügung vom 15. November 2018</w:t>
      </w:r>
    </w:p>
    <w:p>
      <w:r>
        <w:t>I. öffentlich-rechtliche Abteilung</w:t>
      </w:r>
    </w:p>
    <w:p>
      <w:r>
        <w:t>Besetzung</w:t>
      </w:r>
    </w:p>
    <w:p>
      <w:r>
        <w:t>Bundesrichter Karlen, als Einzelrichter,</w:t>
      </w:r>
    </w:p>
    <w:p>
      <w:r>
        <w:t>Gerichtsschreiber Baur.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Advokat Alain Joset,</w:t>
      </w:r>
    </w:p>
    <w:p>
      <w:r>
        <w:t>und dieser substituiert durch Advokat Markus Husmann,</w:t>
      </w:r>
    </w:p>
    <w:p>
      <w:r>
        <w:t>gegen</w:t>
      </w:r>
    </w:p>
    <w:p>
      <w:r>
        <w:t>Strassenverkehrsamt des Kantons Luzern, Abteilung Massnahmen.</w:t>
      </w:r>
    </w:p>
    <w:p>
      <w:r>
        <w:t>Gegenstand</w:t>
      </w:r>
    </w:p>
    <w:p>
      <w:r>
        <w:t>Administrativmassnahmen des Strassenverkehrsrechts,</w:t>
      </w:r>
    </w:p>
    <w:p>
      <w:r>
        <w:t>Beschwerde gegen das Urteil des Kantonsgerichts Luzern, 4. Abteilung, vom 5. Juni 2018 (7H 18 27).</w:t>
      </w:r>
    </w:p>
    <w:p>
      <w:r>
        <w:t>In Erwägung,</w:t>
      </w:r>
    </w:p>
    <w:p>
      <w:r>
        <w:t>dass A.________ gegen das Urteil des Kantonsgerichts Luzern vom 5. Juni 2018 betreffend Administrativmassnahmen des Strassenverkehrsrechts am 16. August 2018 Beschwerde in öffentlich-rechtlichen Angelegenheiten an das Bundesgericht erhoben hat;</w:t>
      </w:r>
    </w:p>
    <w:p>
      <w:r>
        <w:t>dass er seine Beschwerde mit Schreiben vom 12. November 2018 zurückgezogen hat;</w:t>
      </w:r>
    </w:p>
    <w:p>
      <w:r>
        <w:t>dass demnach das vorliegende Beschwerdeverfahren nach Art. 32 Abs. 2 BGG durch den Instruktionsrichter als Einzelrichter abzuschreiben ist;</w:t>
      </w:r>
    </w:p>
    <w:p>
      <w:r>
        <w:t>dass im Zeitpunkt des Rückzugs noch kein instruktionsrichterliches Referat vorlag und es sich deshalb rechtfertigt, auf die Erhebung von Kosten zu verzichten ( Art. 66 Abs. 2 BGG );</w:t>
      </w:r>
    </w:p>
    <w:p>
      <w:r>
        <w:t>dass keine Parteientschädigung zuzusprechen ist ( Art. 68 Abs. 1 - 3 BGG );</w:t>
      </w:r>
    </w:p>
    <w:p>
      <w:r>
        <w:t>verfügt der Einzelrichter:</w:t>
      </w:r>
    </w:p>
    <w:p>
      <w:r>
        <w:t>1.</w:t>
      </w:r>
    </w:p>
    <w:p>
      <w:r>
        <w:t>Das Beschwerdeverfahren wird zufolge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dem Beschwerdeführer, dem Strassenverkehrsamt des Kantons Luzern, Abteilung Massnahmen, dem Kantonsgericht Luzern, 4. Abteilung, und dem Bundesamt für Strassen ASTRA, Sekretariat Administrativmassnahmen, schriftlich mitgeteilt.</w:t>
      </w:r>
    </w:p>
    <w:p>
      <w:r>
        <w:t>Lausanne, 15. November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Einzelrichter: Karlen</w:t>
      </w:r>
    </w:p>
    <w:p>
      <w:r>
        <w:t>Der Gerichtsschreiber: Baur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