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382/2023 vom 25. August 2023</w:t>
      </w:r>
    </w:p>
    <w:p>
      <w:r>
        <w:t>Bundesgericht, 2023-08-25, DE</w:t>
      </w:r>
    </w:p>
    <w:p>
      <w:r>
        <w:rPr>
          <w:b/>
        </w:rPr>
        <w:t xml:space="preserve">Quelle: </w:t>
      </w:r>
      <w:r>
        <w:t>https://mcp.opencaselaw.ch/entscheid/bger_1C_382_2023</w:t>
      </w:r>
    </w:p>
    <w:p>
      <w:r>
        <w:t>FR: TF 1C 382/2023 du 25 août 2023</w:t>
      </w:r>
    </w:p>
    <w:p>
      <w:r>
        <w:t>IT: TF 1C 382/2023 del 25 agosto 2023</w:t>
      </w:r>
    </w:p>
    <w:p>
      <w:pPr>
        <w:pStyle w:val="Heading2"/>
      </w:pPr>
      <w:r>
        <w:t>Regeste</w:t>
      </w:r>
    </w:p>
    <w:p>
      <w:r>
        <w:t>Sicherungsentzug des Führerausweises | Strassenbau und Strassenverkehr</w:t>
      </w:r>
    </w:p>
    <w:p>
      <w:pPr>
        <w:pStyle w:val="Heading2"/>
      </w:pPr>
      <w:r>
        <w:t>Erwägungen</w:t>
      </w:r>
    </w:p>
    <w:p>
      <w:r>
        <w:rPr>
          <w:b/>
        </w:rPr>
        <w:t>E. 1</w:t>
      </w:r>
    </w:p>
    <w:p>
      <w:r>
        <w:t>Am 20. September 2022 nahm die Kantonspolizei Zürich A.________ den Führerausweis ab, nachdem ihr anlässlich einer Kontrolle Zweifel an seiner Fahrfähigkeit gekommen waren. Nachdem ein verkehrsmedizinisches Gutachten die Fahrfähigkeit von A.________ verneint hatte, entzog ihm das Bau- und Justizdepartement des Kantons Solothurn am 20. Juli 2023 den Führerausweis auf unbestimmte Zeit und machte eine allfällige Wiedererteilung von verschiedenen Auflagen abhängig. Am 20. Juli 2023 wies das Verwaltungsgericht des Kantons Solothurn die von A.________ gegen diese Entzugsverfügung erhobene Beschwerde ab. Am 7. August 2023 erhob A.________ Beschwerde ans Bundesgericht mit dem sinngemässen Antrag, das Urteil des Verwaltungsgerichts aufzuheben. Auf die Aufforderung des Bundesgerichts, bis zum 25. August 2023 die nicht eigenhändig unterschriebene und damit mangelhafte Rechtsmitteleingabe zu verbessern, reichte A.________ am 10. August 2023 noch einmal die identische, nicht eigenhändig unterschriebene Beschwerdeschrift ein, zusammen mit einem eigenhändig unterschriebenen Begleitschreiben.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Der Beschwerdefüher bringt wie schon vor der Vorinstanz vor, für die Festlegung der zeitlichen Dauer des Entzugs müsse das "Kaskadensystem" zur Anwendung kommen. Das Verwaltungsgericht hat im angefochtenen Entscheid indessen bereits ausgeführt, dass dieses in seinem Fall nicht zur Anwendung komme, und das zu Recht: Das "Kaskadensystem" bezieht sich auf Sicherungsentzüge gemäss Art. 16b Abs. 2 lit. f und Art. 16c Abs. 2 lit e SVG , wonach Fahrzeugführern, die in Bezug auf Widerhandlungen gegen das Strassenverkehrsgesetz in bestimmter, gesetzlich definierter Weise rückfällig werden, der Führerausweis für immer entzogen wird. Vorliegend werden dem Beschwerdeführer keine Widerhandlungen vorgeworfen. Der Führerausweis wurde ihm entzogen, weil seine Fahreignung gemäss eingeholtem Gutachten aus medizinischen Gründen zur Zeit nicht gegeben ist. Indem sich der Beschwerdeführer mit der blossen Wiederholung seiner Berufung auf das "Kaskadensystem" begnügt, ohne sich mit dem angefochtenen Entscheid auseinanderzusetzen, kommt er seiner gesetzlichen Begründungspflicht nicht nach, weshalb auf die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