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1C_382/2017 vom 16. Mai 2018</w:t>
      </w:r>
    </w:p>
    <w:p>
      <w:r>
        <w:t>Bundesgericht, 2018-05-16, FR</w:t>
      </w:r>
    </w:p>
    <w:p>
      <w:r>
        <w:rPr>
          <w:b/>
        </w:rPr>
        <w:t xml:space="preserve">Quelle: </w:t>
      </w:r>
      <w:r>
        <w:t>https://mcp.opencaselaw.ch/entscheid/bger_1C_382_2017</w:t>
      </w:r>
    </w:p>
    <w:p>
      <w:r>
        <w:t>FR: TF 1C_382/2017 du 16 mai 2018</w:t>
      </w:r>
    </w:p>
    <w:p>
      <w:r>
        <w:t>IT: TF 1C_382/2017 del 16 maggio 2018</w:t>
      </w:r>
    </w:p>
    <w:p>
      <w:pPr>
        <w:pStyle w:val="Heading2"/>
      </w:pPr>
      <w:r>
        <w:t>Erwägungen</w:t>
      </w:r>
    </w:p>
    <w:p>
      <w:r>
        <w:rPr>
          <w:b/>
        </w:rPr>
        <w:t>E. 1</w:t>
      </w:r>
    </w:p>
    <w:p>
      <w:r>
        <w:t>Le Tribunal fédéral examine d'office et librement la recevabilité des recours qui lui sont soumis ( ATF 135 III 329 consid. 1 p. 331 et les arrêts cités).</w:t>
      </w:r>
    </w:p>
    <w:p>
      <w:r>
        <w:rPr>
          <w:b/>
        </w:rPr>
        <w:t>E. 1.1</w:t>
      </w:r>
    </w:p>
    <w:p>
      <w:r>
        <w:t>Dirigé contre une décision finale rendue en dernière instance cantonale ( art. 90 LTF ) dans le domaine du droit public des constructions, le recours est en principe recevable comme recours en matière de droit public conformément aux art. 82 ss LTF , aucune des exceptions prévues à l' art. 83 LTF n'étant réalisée.</w:t>
      </w:r>
    </w:p>
    <w:p>
      <w:r>
        <w:rPr>
          <w:b/>
        </w:rPr>
        <w:t>E. 1.2</w:t>
      </w:r>
    </w:p>
    <w:p>
      <w:r>
        <w:t>Devant le Tribunal fédéral, la municipalité conclut à l'irrecevabilité du recours en tant qu'il est dirigé contre les six décisions concernant les propriétaires d'étages rendues le 11 avril 2016. On comprend de son mémoire que l'autorité communale remet en cause la qualité pour agir de la recourante, plus particulièrement l'existence d'un intérêt direct et digne de protection à contester les mesures d'assainissement des constructions A1, A2 et A3, qui ne lui appartiennent plus.</w:t>
      </w:r>
    </w:p>
    <w:p>
      <w:r>
        <w:rPr>
          <w:b/>
        </w:rPr>
        <w:t>E. 1.2.1</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139 II 499 consid. 2.2; 137 II 30 consid. 2.2.3 et 2-3 p. 33 s.). Si le voisin direct de la construction ou de l'installation litigieuse a ainsi en principe qualité pour recourir, il ne peut pas présenter n'importe quel grief; il ne se prévaut d'un intérêt digne de protection, lorsqu'il invoque des dispositions édictées dans l'intérêt général ou dans l'intérêt de tiers, que si ces normes peuvent avoir une influence sur sa situation de fait ou de droit ( ATF 139 II 499 consid. 2.2 p. 504; 137 II 30 consid. 2.2.3 p. 33; 133 II 249 consid. 1.3 p. 252).</w:t>
      </w:r>
    </w:p>
    <w:p>
      <w:r>
        <w:rPr>
          <w:b/>
        </w:rPr>
        <w:t>E. 1.2.2</w:t>
      </w:r>
    </w:p>
    <w:p>
      <w:r>
        <w:t>Il est en l'occurrence indéniable que la société recourante bénéficie d'un intérêt digne de protection à contester l'arrêt attaqué en tant qu'il porte sur la réduction de ses droits à bâtir sur la parcelle n</w:t>
      </w:r>
    </w:p>
    <w:p>
      <w:r>
        <w:t>o 296 ainsi que sur la révocation du permis de construire n</w:t>
      </w:r>
    </w:p>
    <w:p>
      <w:r>
        <w:t>o 26228 (second projet), qui en découle. A l'examen du dossier, il apparaît cependant qu'il s'agit-là des conséquences des mesures d'assainissement ordonnées - par le biais de six décisions séparées du 11 avril 2016 - pour les villas A1 à A3: comme l'a relevé la cour cantonale, si au lieu d'admettre le caractère habitable des surfaces litigieuses (236,28 m²), au rez-de-chaussée et dans les combles, l'autorité communale avait ordonné le retour à un état conforme au permis de construire initialement délivré, la question du respect du coefficient d'utilisation du sol (CUS), pour le dernier projet de la recourante sur la parcelle n</w:t>
      </w:r>
    </w:p>
    <w:p>
      <w:r>
        <w:t>o 296, ne se poserait pas; ce projet présente en effet une surface brute utilisable de 1'188 m</w:t>
      </w:r>
    </w:p>
    <w:p>
      <w:r>
        <w:rPr>
          <w:b/>
        </w:rPr>
        <w:t>E. 1.3</w:t>
      </w:r>
    </w:p>
    <w:p>
      <w:r>
        <w:t>Les autres conditions de recevabilité étant au surplus réunies, il convient d'entrer en matière.</w:t>
      </w:r>
    </w:p>
    <w:p>
      <w:r>
        <w:rPr>
          <w:b/>
        </w:rPr>
        <w:t>E. 2</w:t>
      </w:r>
    </w:p>
    <w:p>
      <w:r>
        <w:t>Sur le plan formel, la recourante se plaint d'une violation de son droit d'être entendue ( art. 29 al. 2 Cst. ). Elle reproche en particulier au Tribunal cantonal de n'avoir pas fait droit à ses différentes réquisitions de preuve visant à démontrer qu'elle aurait agi de bonne foi, contrairement aux acquéreurs des parcelles n</w:t>
      </w:r>
    </w:p>
    <w:p>
      <w:r>
        <w:t>os 2564, 2565 et 2566. A suivre la recourante, ces derniers savaient, lors de l'acquisition, que les surfaces litigieuses ne pouvaient être destinées à l'habitation, ce que la cour cantonale aurait nié, sans toutefois instruire elle-même cette question, versant ainsi dans l'arbitraire; à cet égard, la recourante se prévaut également d'une constatation manifestement inexacte des faits ( art. 97 al. 1 LTF ).</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137 II 266 consid. 3.2 p. 270; 135 II 286 consid. 5.1 p. 293).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136 I 229 consid. 5.3 p. 236; 131 I 153 consid. 3 p. 157; sur la notion d'arbitraire: ATF 137 I 58 consid. 4.1.2 p. 62).</w:t>
      </w:r>
    </w:p>
    <w:p>
      <w:r>
        <w:rPr>
          <w:b/>
        </w:rPr>
        <w:t>E. 2.2</w:t>
      </w:r>
    </w:p>
    <w:p>
      <w:r>
        <w:t>En l'espèce, la cour cantonale a rappelé, s'agissant du permis de construire délivré à la recourante pour son second projet, les conditions auxquelles sa révocation pouvait être prononcée. A cet égard, l'arrêt attaqué précise, à juste titre, qu'une révocation n'est possible qu'au terme d'une pesée des intérêts confrontant l'intérêt à une application correcte du droit objectif à l'intérêt à la sécurité juridique, respectivement à la protection de la confiance (cf. ATF 137 I 69 consid. 2.3 p. 71 s.; 135 V 215 consid. 5.2 p. 221 s.; 127 II 306 consid. 7a p. 313 s.; voir également HÄFELLIN ET AL., Allgemeines Verwaltungsrecht, 7</w:t>
      </w:r>
    </w:p>
    <w:p>
      <w:r>
        <w:t>e éd. 2016, n. 1215 et 1226 ss; MOOR/POLTIER, Droit administratif, vol. II: les actes administratifs et leur contrôle, 3</w:t>
      </w:r>
    </w:p>
    <w:p>
      <w:r>
        <w:t>e éd., 2011, n. 2.4.3.3 ss). Dans ce cadre, la bonne foi de l'administré est un élément dont il convient de tenir compte (cf. THIERRY TANQUEREL, Manuel de droit administratif, 2011, n. 958), celui qui a agi dolosivement ne pouvant en principe pas s'opposer à la révocation, à moins que cette mesure ne soit contraire au principe de la proportionnalité (cf. arrêt 1C_111/2016 du 8 décembre 2016 consid. 6.1 et les arrêts cités; voir également HÄFELLIN ET AL., op. cit., n. 1228; WIEDERKEHR/ RICHLIN, Praxis des allgemeinen Verwaltungsrechts, vol. I, 2012, n. 2724).</w:t>
      </w:r>
    </w:p>
    <w:p>
      <w:r>
        <w:t>En dépit de ces considérations, le Tribunal cantonal n'a toutefois procédé à aucune mesure d'instruction visant à établir, lors de la vente, la bonne ou la mauvaise foi de la recourante, plus particulièrement s'agissant des informations communiquées par celle-ci aux acquéreurs quant aux surfaces habitables autorisées par les projets A1 à A3. Les acquéreurs - bien qu'il se prévalent à cet égard de leur propre bonne foi et d'une attitude dolosive de la recourante - qualifient d'ailleurs également, dans leur réponse, de lacunaire l'instruction menée sur ce point par l'instance précédente.</w:t>
      </w:r>
    </w:p>
    <w:p>
      <w:r>
        <w:t>En ce qui concerne plus particulièrement la recourante, il apparaît que ce n'est en effet qu'indirectement, en retenant que les acquéreurs ne pouvaient savoir que les locaux litigieux n'étaient pas destinés à l'habitation, que la cour cantonale a jugé, à tout le moins implicitement, que la recourante avait agi dolosivement. Si une telle manière de procéder n'apparaît sur le principe pas insoutenable, elle s'avère cependant insuffisante dans le cas particulier: en effet, le constat de la bonne foi des acquéreurs se fonde exclusivement sur les décisions municipales du 11 avril 2016, dont la cour cantonale a pourtant reconnu qu'elles n'expliquaient pas en détail comment les propriétaires avaient été renseignés, au moment de la vente, au sujet du contenu du premier permis de construire et des pièces comptées dans le total des surfaces habitables. Or, la question de la bonne foi joue non seulement un rôle important dans le cadre de la révocation du permis de construire (cf. consid. 2.2), mais également dans celui de la remise en état ou en conformité des villas A1 à A3, en application de l'art. 105 al. 1 LATC (RS/VD 700.11) (cf. arrêts 1C_292/2016 du 23 février 2017 consid. 5.1; 1C_122/2016 du 7 septembre 2016 consid. 6.1); la cour cantonale ne pouvait partant se satisfaire d'explications lacunaires pour établir la bonne foi des acquéreurs et en exclure, à tout le moins implicitement, celle de la recourante.</w:t>
      </w:r>
    </w:p>
    <w:p>
      <w:r>
        <w:t>L'instance précédente ne saurait pas non plus se fonder sur le large pouvoir d'appréciation dont jouit la municipalité en matière de reconnaissance du caractère habitable d'un local (cf. arrêt 1C_122/2016 du 7 septembre 2016 consid. 5.4.1) pour refuser d'instruire la question de la bonne foi des parties et écarter, sans autre motivation, les offres de preuves de la recourante; il n'est en effet, à ce stade, pas pertinent de déterminer si la commune était en droit, compte tenu des aménagements opérés par les propriétaires et les assainissements ordonnés, de qualifier d'habitables les pièces litigieuses; il est en revanche essentiel d'établir ce que savaient les acquéreurs quant aux possibilités consacrées par le permis de construire en matière de surfaces habitables. Ce point est en effet de nature à influer sur la pesée des intérêts que commande d'opérer l'art. 105 al. 1 LATC s'agissant d'une éventuelle remise en conformité des villas A1 à A3 avec l'autorisation initialement délivrée, issue susceptible, le cas échéant, de priver la décision de révocation du permis de construire octroyé pour la parcelle n</w:t>
      </w:r>
    </w:p>
    <w:p>
      <w:r>
        <w:t>o 296 de tout fondement.</w:t>
      </w:r>
    </w:p>
    <w:p>
      <w:r>
        <w:rPr>
          <w:b/>
        </w:rPr>
        <w:t>E. 2.3</w:t>
      </w:r>
    </w:p>
    <w:p>
      <w:r>
        <w:t>En définitive, en refusant de compléter l'instruction sur un point essentiel pour l'issue du litige, l'appréciation anticipée des preuves à laquelle a procédé le Tribunal cantonal est empreinte d'arbitraire. Le grief de violation du droit d'être entendu est partant fondé; cette irrégularité ne peut être guérie dans la présente procédure, le Tribunal fédéral ne revoyant pas librement les faits ( art. 97 et 105 LTF ). Le recours doit donc être admis pour ce motif formel, sans qu'il y ait lieu d'examiner les autres griefs soulevés par la recourante. Il appartiendra à la cour cantonale de statuer à nouveau en procédant à une nouvelle pesée complète des intérêts, après un complément d'instruction - comprenant notamment un examen de la pertinence des moyens de preuve offerts par la recourante - s'agissant de la bonne foi des parties à la procédure.</w:t>
      </w:r>
    </w:p>
    <w:p>
      <w:r>
        <w:rPr>
          <w:b/>
        </w:rPr>
        <w:t>E. 3</w:t>
      </w:r>
    </w:p>
    <w:p>
      <w:r>
        <w:t>Les considérants qui précèdent conduisent à l'admission du recours et à l'annulation de l'arrêt attaqué. La cause est renvoyée au Tribunal cantonal pour nouvelle décision dans le sens des considérants. La recourante obtenant gain de cause, les frais de justice relatifs à la procédure fédérale - réduits au vu de l'issue du recours - sont mis à la charge des intimés B.B.________ et C.B.________, D.D.________ et E.D.________, G.________ et F.________, ainsi que I.________ et H.________ ( art. 66 al. 1 et 5 LTF ); la Commune d'Arzier-Le Muids en est exemptée ( art. 66 al. 4 LTF ). Pour le même motif, une indemnité de dépens est allouée à la recourante, qui a procédé avec l'assistance d'un avocat; celle-ci sera supportée par moitié par les intimés, solidairement entre eux, et mise à la charge de la commune, pour le solde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