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381/2024 vom 3. April 2025</w:t>
      </w:r>
    </w:p>
    <w:p>
      <w:r>
        <w:t>Bundesgericht, 2025-04-03, FR</w:t>
      </w:r>
    </w:p>
    <w:p>
      <w:r>
        <w:rPr>
          <w:b/>
        </w:rPr>
        <w:t xml:space="preserve">Quelle: </w:t>
      </w:r>
      <w:r>
        <w:t>https://mcp.opencaselaw.ch/entscheid/bger_1C_381_2024</w:t>
      </w:r>
    </w:p>
    <w:p>
      <w:r>
        <w:t>FR: TF 1C 381/2024 du 3 avril 2025</w:t>
      </w:r>
    </w:p>
    <w:p>
      <w:r>
        <w:t>IT: TF 1C 381/2024 del 3 aprile 2025</w:t>
      </w:r>
    </w:p>
    <w:p>
      <w:pPr>
        <w:pStyle w:val="Heading2"/>
      </w:pPr>
      <w:r>
        <w:t>Regeste</w:t>
      </w:r>
    </w:p>
    <w:p>
      <w:r>
        <w:t>Droit de la fonction publique; résiliation des rapports de service | Fonction publique</w:t>
      </w:r>
    </w:p>
    <w:p>
      <w:pPr>
        <w:pStyle w:val="Heading2"/>
      </w:pPr>
      <w:r>
        <w:t>Erwägungen</w:t>
      </w:r>
    </w:p>
    <w:p>
      <w:r>
        <w:rPr>
          <w:b/>
        </w:rPr>
        <w:t>E. 1</w:t>
      </w:r>
    </w:p>
    <w:p>
      <w:r>
        <w:t>La présente cause est une contestation de nature pécuniaire en matière de rapports de travail de droit public, de sorte que le motif d'exclusion de l' art. 83 let . g LTF n'entre pas en considération. La valeur litigieuse dépasse largement le seuil de 15'000 fr. ouvrant la voie du recours en matière de droit public en ce domaine (art. 51 al. 1 et 85 al. 1 let. b LTF; cf. arrêts 1C_174/2024 du 7 octobre 2024 consid. 1; 8C_816/2015 du 12 septembre 2016 consid. 1.2). Par ailleurs, en tant que partie à la procédure cantonale, destinataire de la décision mettant un terme aux rapports de travail, le recourant bénéficie de la qualité pour recourir. Pour le surplus, interjeté en temps utile, contre une décision finale prise par une autorité cantonale de dernière instance, le recours en matière de droit public est recevable.</w:t>
      </w:r>
    </w:p>
    <w:p>
      <w:r>
        <w:rPr>
          <w:b/>
        </w:rPr>
        <w:t>E. 2</w:t>
      </w:r>
    </w:p>
    <w:p>
      <w:r>
        <w:t>Le recourant se plaint d'un établissement manifestement inexact des faits.</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 145 V 188 consid. 2).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ATF 146 IV 88 consid. 1.3.1; 145 IV 154 consid. 1.1).</w:t>
      </w:r>
    </w:p>
    <w:p>
      <w:r>
        <w:rPr>
          <w:b/>
        </w:rPr>
        <w:t>E. 2.2</w:t>
      </w:r>
    </w:p>
    <w:p>
      <w:r>
        <w:t>Le recourant fait grief à la cour cantonale d'avoir repris, dans sa partie en fait, un grand nombre des reproches énoncés par le département. Il se limite pour l'essentiel à affirmer que ces faits ne pourraient être déduits des pièces présentées par le département. Il ne démontre toutefois pas de manière circonstanciée et précise, conformément aux exigences de motivation rappelées ci-dessus, en quoi la cour cantonale aurait versé dans l'arbitraire en déduisant ces faits des nombreux courriels figurant au dossier, en particulier en annexe à son entretien de service du 9 novembre 2022. Le recourant n'explique pas non plus pour quelle raison ses propres allégations devraient avoir plus de poids que celles de ses collègues et de son supérieur hiérarchique B.________. Enfin, à la fin de son grief, le recourant se contente d'affirmer de manière générale que la correction de ces différents vices serait susceptible d'influer sur le sort de la cause dès lors qu'elle démontrerait l'absence de tout motif fondé à la résiliation. Sa critique ne respecte ainsi pas les exigences accrues de motivation posées par l' art. 106 al. 2 LTF et est dès lors irrecevable. Il n'y a pas lieu de modifier l'état de fait. Cela étant, comme exposé ci-dessous, au vu des pièces figurant au dossier, l'appréciation de la cour cantonale apparaît exempte d'arbitraire (cf. ci-dessous consid. 5.4).</w:t>
      </w:r>
    </w:p>
    <w:p>
      <w:r>
        <w:rPr>
          <w:b/>
        </w:rPr>
        <w:t>E. 3</w:t>
      </w:r>
    </w:p>
    <w:p>
      <w:r>
        <w:t>Invoquant une violation de son droit d'être entendu ( art. 29 al. 2 Cst. et 6 § 1 CEDH ), le recourant reproche à la cour cantonale d'avoir refusé d'ordonner la comparution personnelle des parties ainsi que l'audition de la Dresse E.________, psychiatre.</w:t>
      </w:r>
    </w:p>
    <w:p>
      <w:r>
        <w:rPr>
          <w:b/>
        </w:rPr>
        <w:t>E. 3.1</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En revanche, l' art. 29 al. 2 Cst. ne confère pas le droit d'être entendu oralement, ni celui d'obtenir l'audition de témoins ( ATF 140 I 68 consid. 9.6.1; 134 I 140 consid. 5.3).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Dans ce contexte, la partie recourante est soumise aux exigences accrues de motivation de l' art. 106 al. 2 LTF ( ATF 146 I 62 consid. 3).</w:t>
      </w:r>
    </w:p>
    <w:p>
      <w:r>
        <w:rPr>
          <w:b/>
        </w:rPr>
        <w:t>E. 3.2</w:t>
      </w:r>
    </w:p>
    <w:p>
      <w:r>
        <w:t>En l'espèce, le 5 février 2024, après l'échange des écritures, la Cour de justice a informé les parties que la cause serait gardée à juger. En procédure genevoise, cette expression signifie que l'autorité précédente considère que l'instruction est close (arrêts 8C_324/2022 du 17 mai 2023 consid. 5.3; 8C_897/2011 du 22 novembre 2012 consid. 5.3). Or, le recourant, pourtant assisté d'un mandataire professionnel, n'a pas réagi à cet avis; il n'a en particulier pas réitéré sa demande de tenue d'une audience de comparution personnelle, ni celle d'audition de la Dresse E.________, acquiesçant ainsi implicitement à la clôture de l'instruction. Le recourant aurait d'ailleurs d'autant plus pu renouveler sa demande tendant à la comparution personnelle que la Cour de justice avait informé les parties de la reprise de l'instruction de la cause le 23 janvier 2024 après leur avoir annoncé une première fois le 10 janvier 2024 que la cause était gardée à juger. Dans la mesure où l'arrêt cantonal a été rendu le 14 mai 2024, le recourant a en tout état de cause disposé d'un temps suffisant pour requérir la réouverture de la procédure probatoire s'il en avait eu l'intention. Cela étant, concernant l'audition de la psychiatre du recourant, la cour cantonale a exposé les motifs pour lesquels ce moyen de preuve n'était pas susceptible de modifier son appréciation, basée sur l'avis d'un médecin-conseil indépendant, quant au fait que l'arrêt de travail du recourant n'était pas justifié sous l'angle psychiatrique. Or, à l'appui de son grief, le recourant ne démontre pas, conformément aux exigences accrues de motivation découlant de l' art. 106 al. 2 LTF , en quoi l'appréciation de la cour cantonale serait insoutenable. Il se contente en effet d'affirmer de manière appellatoire que l'audition de sa psychiatre aurait permis de démontrer son incapacité de travail totale découlant des rapports de service et, par conséquent, la nullité de son licenciement. Il s'ensuit que la conclusion du recourant tendant à la constatation de la nullité de son licenciement durant une période d'incapacité de travail totale doit être écartée, étant en outre relevé que le recourant ne soulève aucune argumentation juridique de fond en lien avec la nullité de la décision de licenciement. Enfin, si le recourant se réfère à l'art. 6 § 1 CEDH dans l'intitulé de son grief, il ne propose pas la moindre argumentation juridique en lien avec cette disposition conventionnelle. Il ne formule aucune critique recevable sur ce point. Le grief tiré de la violation du droit d'être entendu doit ainsi être écarté.</w:t>
      </w:r>
    </w:p>
    <w:p>
      <w:r>
        <w:rPr>
          <w:b/>
        </w:rPr>
        <w:t>E. 4</w:t>
      </w:r>
    </w:p>
    <w:p>
      <w:r>
        <w:t>Le recourant se plaint ensuite d'un déni de justice en tant que la cour cantonale aurait refusé d'examiner la question de l'existence ou non d'une atteinte à sa personnalité. Il lui fait grief d'avoir considéré que la question d'une éventuelle atteinte à sa personnalité était exorbitante au présent litige et, par conséquent, de ne pas avoir statué sur le grief de violation de l'art. 2B ("protection de la personnalité") de la loi générale relative au personnel de l'administration cantonale, du pouvoir judiciaire et des établissements publics médicaux (LPAC; RSG B 5 05) qu'il avait invoqué.</w:t>
      </w:r>
    </w:p>
    <w:p>
      <w:r>
        <w:rPr>
          <w:b/>
        </w:rPr>
        <w:t>E. 4.1</w:t>
      </w:r>
    </w:p>
    <w:p>
      <w:r>
        <w:t>Commet un déni de justice proscrit par l' art. 29 al. 1 Cst. l'autorité qui ne traite pas un grief relevant de sa compétence, motivé de façon suffisante et pertinent pour l'issue du litige, ou qui omet de statuer sur une conclusion d'un recours dont elle est valablement saisie, alors qu'elle est compétente pour le faire (cf. ATF 142 II 154 consid. 4.2; 141 V 557 consid. 3.2.1; 133 III 235 consid. 5.2; 125 III 440 consid. 2a).</w:t>
      </w:r>
    </w:p>
    <w:p>
      <w:r>
        <w:rPr>
          <w:b/>
        </w:rPr>
        <w:t>E. 4.2</w:t>
      </w:r>
    </w:p>
    <w:p>
      <w:r>
        <w:t>La critique doit être rejetée. En effet, la cour cantonale a constaté que le recourant avait demandé au GdC - organe spécialement chargé de la bonne application du dispositif de protection de la personnalité dans le canton de Genève - l'ouverture d'une investigation à l'encontre de son supérieur hiérarchique pour atteinte à sa personnalité (art. 2B LPAC). Le GdC s'était saisi de sa requête et l'avait instruite, parvenant à la conclusion qu'elle n'était pas fondée dès lors que l'enquête menée n'avait pas permis d'établir une présomption de harcèlement psychologique ou d'atteinte d'une certaine gravité à la personnalité du recourant. L'instance précédente pouvait ainsi à bon droit considérer que l'objet du présent litige portait exclusivement sur le bien-fondé de la résiliation de ses rapports de service et que la question de l'atteinte à la personnalité du recourant faisait l'objet d'une procédure distincte. La décision du GdC - qui a procédé aux auditions du recourant, de son supérieur hiérarchique et de plusieurs témoins - a d'ailleurs été successivement confirmée par le DIN, puis par la Cour de justice (arrêt du 24 septembre 2024 entré en force de chose jugée). C'est donc à tort que le recourant prétend revenir sur cette question dans le cadre de la présente procédure de licenciement.</w:t>
      </w:r>
    </w:p>
    <w:p>
      <w:r>
        <w:rPr>
          <w:b/>
        </w:rPr>
        <w:t>E. 5</w:t>
      </w:r>
    </w:p>
    <w:p>
      <w:r>
        <w:t>Le recourant se plaint d'une application arbitraire ( art. 9 Cst. ) et contraire au principe de la proportionnalité ( art. 5 al. 2 Cst. ) des art. 21 et 22 LPAC.</w:t>
      </w:r>
    </w:p>
    <w:p>
      <w:r>
        <w:rPr>
          <w:b/>
        </w:rPr>
        <w:t>E. 5.1</w:t>
      </w:r>
    </w:p>
    <w:p>
      <w:r>
        <w:t>Le principe de proportionnalité, dont la violation peut être invoquée de manière indépendante dans un recours en matière de droit public (cf. art. 95 al. 1 let. a LTF ; ATF 140 I 257 consid. 6.3.1; 134 I 153 consid. 4.1 et les références citées), commande que la mesure étatique soit nécessaire et apte à atteindre le but prévu et qu'elle soit raisonnable pour la personne concernée ( ATF 141 I 1 consid. 5.3.1). Lorsqu'il examine comme en l'espèce le droit cantonal indépendamment de toute atteinte à un droit fondamental, le Tribunal fédéral n'examine le respect de ce principe, que sous l'angle de l'arbitraire ( ATF 139 II 7 consid. 7.3 p. 28; 134 I 153 précité consid. 4.3 p. 158). L'atteinte au principe de la proportionnalité se confond donc en l'espèce avec le grief d'arbitraire. Une décision est arbitraire lorsqu'elle viole gravement une norme ou un principe juridique clair et indiscuté, ou lorsqu'elle contredit d'une manière choquante le sentiment de justice et d'équité. Le Tribunal fédéral n'a pas à déterminer quelle est l'interprétation correcte que l'autorité cantonale aurait dû donner des dispositions applicables; il doit uniquement examiner si l'interprétation qui a été faite est défendable.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149 I 329 consid. 5.1 et les arrêts cités). Dans ce contexte, il incombe à la partie recourante d'exposer une argumentation spécifique qui réponde aux exigences accrues de motivation de l' art. 106 al. 2 LTF ( ATF 149 III 81 consid. 1.3; 146 I 62 consid. 3).</w:t>
      </w:r>
    </w:p>
    <w:p>
      <w:r>
        <w:rPr>
          <w:b/>
        </w:rPr>
        <w:t>E. 5.2</w:t>
      </w:r>
    </w:p>
    <w:p>
      <w:r>
        <w:t>Selon l'art. 21 al. 3 LPAC,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Il y a motif fondé, lorsque la continuation des rapports de service n'est plus compatible avec le bon fonctionnement de l'administration, soit notamment en raison de l'insuffisance des prestations (art. 22 let. a LPAC), de l'inaptitude à remplir les exigences du poste (art. 22 let. b LPAC) ou de la disparition durable d'un motif d'engagement ( art. 22 let . c LPAC). La cour cantonale rappelle dans son arrêt que le licenciement pour motifs fondés ne suppose pas l'existence d'une faute de la part de l'employé, le critère déterminant étant le bon fonctionnement de l'administration cantonale. Il ne s'agit donc pas de sanctionner un fautif, mais d'adapter la composition d'un service déterminé aux exigences relatives à son bon fonctionnement. La notion de motif fondé doit être concrétisée dans chaque situation à la lumière des circonstances concrètes, l'employeur jouissant d'un large pouvoir d'appréciation (cf. arrêt attaqué consid. 5.4 et 5.6; arrêts 1C_17/2024 du 8 août 2024 consid. 4.2; 1C_464/2023 du 14 février 2024 consid. 4.1).</w:t>
      </w:r>
    </w:p>
    <w:p>
      <w:r>
        <w:rPr>
          <w:b/>
        </w:rPr>
        <w:t>E. 5.3</w:t>
      </w:r>
    </w:p>
    <w:p>
      <w:r>
        <w:t>En l'espèce, la Cour de justice a confirmé la décision de licenciement pour motif fondé au sens de l'art. 22 let. a et b LPAC, à savoir insuffisance des prestations et inaptitude à remplir les exigences du poste. Elle a exposé, sur plusieurs pages, les faits reprochés au recourant, relevant d'attitudes multiples, qui avaient sapé la confiance de son employeur. En résumé, la Cour de justice a mis en évidence les problèmes relationnels que le recourant rencontrait avec son supérieur hiérarchique et plusieurs de ses collègues. Elle a notamment relevé l'attitude critique adoptée par le recourant envers ses collègues, créant des tensions inutiles et ayant justifié des recadrages de son supérieur hiérarchique. Elle a également souligné l'obstination et le manque de flexibilité du recourant lors de l'établissement de son nouveau cahier des charges; cette attitude était peu en rapport avec les charges et devoirs d'un cadre supérieur et était de nature à faire douter l'administration de l'apport que le recourant pouvait amener au bon fonctionnement du service. Elle a aussi relevé l'insuffisance des prestations fournies par le recourant en lien avec la réalisation - jugée prioritaire par sa hiérarchie - de la version 2.0 du catalogue de services. La Cour de justice a encore confirmé que le fait d'avoir conservé pendant plusieurs années dans son bureau, accessible à chacun, une arme soft air devant être mise sous protection, constituait une faute supplémentaire permettant d'entamer encore davantage la confiance que l'autorité intimée pouvait avoir en lui. Le recourant critique l'appréciation de la Cour de justice. L'argumentation qu'il présente s'avère toutefois largement appellatoire; il se limite pour l'essentiel à nier ou à minimiser les reproches qui lui sont formulés, en affirmant que les constatations de l'instance précédente ne ressortiraient pas des pièces du dossier. Ce faisant, le recourant ne démontre pas, conformément aux exigences accrues de motivation, en quoi la cour cantonale aurait établi les faits, respectivement appliqué le droit cantonal de manière arbitraire. Cela étant, au vu des nombreux courriels et documents annexés au rapport d'entretien de service du 9 novembre 2022, les constatations de l'instance précédente n'apparaissent pas insoutenables. En effet, quoi qu'en dise le recourant, l'attitude critique envers ses collègues et son supérieur hiérarchique et les tensions qui en découlent ressortent bien de divers documents, dont notamment des courriels des 18 juillet 2019, 1er avril 2020, 22, 27 et 29 mai 2020, 11 décembre 2020, 14 mars 2022 et 7 juin 2022 (cf. arrêt attaqué consid. en fait let. B. e, B.l., B.m., B.n., B.v., E.d, E.j), ainsi que de l'EEDM du 9 novembre 2021 de son collègue F.________ (cf. arrêt attaqué consid. en fait let. D.d). La cour cantonale pouvait aussi sans arbitraire constater l'attitude inflexible du recourant en lien avec la révision du cahier des charges (cf. arrêt attaqué consid. en fait let. E.f et E.i), tout comme le fait que les objectifs fixés par l'employeur en lien avec la rédaction du catalogue de services n'avaient pas été atteints (cf. arrêt attaqué consid. en fait let. E.l et E.e). Le recourant n'a enfin pas nié avoir conservé pendant plusieurs années une arme soft air dans son bureau. Dès lors, c'est sans arbitraire que l'instance précédente a confirmé que les manquements répétés du recourant rendaient la continuation des rapports de service incompatible avec le bon fonctionnement de l'administration. Il peut être renvoyé à l'argumentation exempte d'arbitraire développée par l'instance précédente ( art. 109 al. 3 LTF ).</w:t>
      </w:r>
    </w:p>
    <w:p>
      <w:r>
        <w:rPr>
          <w:b/>
        </w:rPr>
        <w:t>E. 5.4</w:t>
      </w:r>
    </w:p>
    <w:p>
      <w:r>
        <w:t>La grief du recourant doit être rejeté dans la mesure où il est recevable.</w:t>
      </w:r>
    </w:p>
    <w:p>
      <w:r>
        <w:rPr>
          <w:b/>
        </w:rPr>
        <w:t>E. 6</w:t>
      </w:r>
    </w:p>
    <w:p>
      <w:r>
        <w:t>Il s'ensuit que le recours en matière de droit public est rejeté, dans la mesure de sa recevabilité. Les frais judiciaires, arrêtés à 3'000 fr.,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