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381/2013 vom 14. April 2014</w:t>
      </w:r>
    </w:p>
    <w:p>
      <w:r>
        <w:t>Bundesgericht, 2014-04-14, DE</w:t>
      </w:r>
    </w:p>
    <w:p>
      <w:r>
        <w:rPr>
          <w:b/>
        </w:rPr>
        <w:t xml:space="preserve">Quelle: </w:t>
      </w:r>
      <w:r>
        <w:t>https://mcp.opencaselaw.ch/entscheid/bger_1C_381_2013</w:t>
      </w:r>
    </w:p>
    <w:p>
      <w:r>
        <w:t>FR: TF 1C 381/2013 du 14 avril 2014</w:t>
      </w:r>
    </w:p>
    <w:p>
      <w:r>
        <w:t>IT: TF 1C 381/2013 del 14 aprile 2014</w:t>
      </w:r>
    </w:p>
    <w:p>
      <w:pPr>
        <w:pStyle w:val="Heading2"/>
      </w:pPr>
      <w:r>
        <w:t>Regeste</w:t>
      </w:r>
    </w:p>
    <w:p>
      <w:r>
        <w:t>Areal Raduner / Aufteilung Betriebsstandort in zwei Teilstandorte | Raumplanung und öffentliches Baurecht</w:t>
      </w:r>
    </w:p>
    <w:p>
      <w:pPr>
        <w:pStyle w:val="Heading2"/>
      </w:pPr>
      <w:r>
        <w:t>Erwägungen</w:t>
      </w:r>
    </w:p>
    <w:p>
      <w:r>
        <w:rPr>
          <w:b/>
        </w:rPr>
        <w:t>E. 1.1</w:t>
      </w:r>
    </w:p>
    <w:p>
      <w:r>
        <w:t>Der angefochtene Entscheid des Verwaltungsgerichts ist kantonal letztinstanzlich ( Art. 86 Abs. 1 lit. d BGG ) und stützt sich auf öffentliches Recht. Er unterliegt damit grundsätzlich der Beschwerde in öffentlich-rechtlichen Angelegenheiten gemäss Art. 82 lit. a BGG . Ausnahmegründe im Sinne von Art. 83 ff. BGG liegen nicht vor. Die Beschwerdeführerin hat am vorinstanzlichen Verfahren teilgenommen und ist nach Art. 89 Abs. 1 BGG zur Beschwerde legitimiert.</w:t>
      </w:r>
    </w:p>
    <w:p>
      <w:r>
        <w:rPr>
          <w:b/>
        </w:rPr>
        <w:t>E. 1.2</w:t>
      </w:r>
    </w:p>
    <w:p>
      <w:r>
        <w:t>Das Urteil der Vorinstanz schliesst das Verfahren nicht ab, sondern weist die Angelegenheit an die Vorinstanzen zurück. Es handelt sich somit um einen Zwischenentscheid im Sinne von Art. 93 BGG . Gegen derartige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in einem frühen Verfahrensstadium ohne genügend umfassende Sachverhaltskenntnisse teilweise materiell festlegen müssen. Können allfällige Nachteile in verhältnismässiger Weise auch noch mit einer bundesgerichtlichen Beurteilung nach Ausfällung des Endentscheids behoben werden, so tritt das Bundesgericht auf eine Beschwerde gegen einen Zwischenentscheid nicht ein ( BGE 135 II 30 E. 1.3.2 S. 34 f.). Insbesondere genügt eine blosse Verlängerung oder Verteuerung des Verfahrens nicht, um einen sofortigen Entscheid des Bundesgerichts zu erwirken ( BGE 136 II 165 E. 1.2.1 S. 170).</w:t>
      </w:r>
    </w:p>
    <w:p>
      <w:r>
        <w:rPr>
          <w:b/>
        </w:rPr>
        <w:t>E. 1.3</w:t>
      </w:r>
    </w:p>
    <w:p>
      <w:r>
        <w:t>Nach Auffassung der Beschwerdeführerin sind vorliegend beide Voraussetzungen erfüllt. Die Beschwerdegegnerin bestreitet dies.</w:t>
      </w:r>
    </w:p>
    <w:p>
      <w:r>
        <w:rPr>
          <w:b/>
        </w:rPr>
        <w:t>E. 1.3.1</w:t>
      </w:r>
    </w:p>
    <w:p>
      <w:r>
        <w:t>Die Beschwerdeführerin bringt zum einen vor, die Rückweisung bedeute für sie einen nicht wieder gutzumachenden Nachteil. Da die Vorinstanzen selber keine Abklärungen durchführen liessen und von der Verhaltensstörerin X.________ AG in Liq. nichts mehr erhältlich gemacht werden könne, weil diese sich in Liquidation befinde, verblieben weitere Abklärungen den Eigentümern und mithin ihr. Sie wäre verpflichtet, das Sanierungsprojekt auch für die Parzelle Nr. 2 auszuarbeiten und die Kosten vorzuschiessen. Wenn der Betriebsstandort beibehalten und die Sanierung umfassend vorzunehmen sei, wäre der nicht wieder gutzumachende Nachteil letztendlich noch wesentlich grösser. Mit dieser Argumentation vermag die Beschwerdeführerin keinen Nachteil im Sinne von Art. 93 Abs. 1 lit. a BGG darzutun. Streitgegenstand ist nur die Frage, ob der sanierungsbedürftige Betriebsstandort in zwei Teilstandorte aufgeteilt werden kann. Über Verpflichtungen zur Ausarbeitung, Ausführung und Vorfinanzierung des Sanierungsprojekts bzw. der Sanierung haben die kantonalen Behörden nichts bestimmt. Solche Pflichten ergeben sich für die Beschwerdeführerin in Bezug auf die Parzelle Nr. 2 auch nicht zwangsläufig aus dem Umstand, dass sich die vormalige Eigentümerin des Betriebsstandortes in Liquidation (bzw. mittlerweile im Konkurs vgl. das vor Bundesgericht hängige Verfahren 1C_397/2013) befindet. Gewiss mag sich aus der Anordnung der Vorinstanz, weitere Abklärungen durchzuführen bzw. eine umfassende und koordinierte Sanierung mit situativem Vorgehen im Grenzbereich vorzunehmen, eine Verfahrensverlängerung ergeben, welche die zur Sanierung von Parzelle Nr. 3 bereite Beschwerdeführerin vermeiden möchte. Dies genügt nach dem unter E. 1.2 Ausgeführten jedoch nicht, um einen sofortigen Entscheid des Bundesgerichts über ein Zwischenergebnis zu erwirken.</w:t>
      </w:r>
    </w:p>
    <w:p>
      <w:r>
        <w:rPr>
          <w:b/>
        </w:rPr>
        <w:t>E. 1.3.2</w:t>
      </w:r>
    </w:p>
    <w:p>
      <w:r>
        <w:t>Die Beschwerdeführerin hält zum andern dafür, bei Gutheissung ihrer Beschwerde resultiere ein sofortiger Endentscheid mit bedeutender Ersparnis an Zeit und Kosten für ein weitläufiges Beweisverfahren. Es kann angenommen werden, dass das Bundesgericht im Falle der Gutheissung der Beschwerde verfahrensabschliessend entscheiden könnte. Indessen kann nicht davon ausgegangen werden, dass diesfalls zeitraubende und kostenintensive zusätzliche Untersuchungen entfielen. Die Beschwerdeführerin selber weist darauf hin, dass bereits gründliche Untersuchungen vorgenommen wurden und für einen Grossteil des Betriebsstandortes hinreichend gesicherte Kenntnisse vorliegen. Die weiteren Abklärungen würden nur einen relativ schmalen Grenzbereich betreffen. Zwar mögen sich dort situationsbedingt gewisse Erschwernisse oder Weiterungen ergeben (Trafostation, unterirdische Leitungen). Diese erscheinen aber nicht als derart wesentlich, dass sich ein sofortiger Entscheid des Bundesgerichts über eine Teilfrage rechtfertigt. Auch unter dem Gesichtswinkel von Art. 93 Abs. 1 lit. b BGG sind die Eintretensvoraussetzungen demnach nicht erfüllt.</w:t>
      </w:r>
    </w:p>
    <w:p>
      <w:r>
        <w:rPr>
          <w:b/>
        </w:rPr>
        <w:t>E. 2</w:t>
      </w:r>
    </w:p>
    <w:p>
      <w:r>
        <w:t>Damit ergibt sich, dass auf die Beschwerde nicht einzutreten ist. Bei diesem Ergebnis wird die Beschwerdeführerin kostenpflichtig. Sie hat die Verfahrenskosten zu tragen ( Art. 66 Abs. 1 BGG ) und der Beschwerdegegnerin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