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1C_37/2016 vom 28. Januar 2016</w:t>
      </w:r>
    </w:p>
    <w:p>
      <w:r>
        <w:t>Bundesgericht, 2016-01-28, FR</w:t>
      </w:r>
    </w:p>
    <w:p>
      <w:r>
        <w:rPr>
          <w:b/>
        </w:rPr>
        <w:t xml:space="preserve">Quelle: </w:t>
      </w:r>
      <w:r>
        <w:t>https://mcp.opencaselaw.ch/entscheid/bger_1C_37_2016</w:t>
      </w:r>
    </w:p>
    <w:p>
      <w:r>
        <w:t>FR: TF 1C_37/2016 du 28 janvier 2016</w:t>
      </w:r>
    </w:p>
    <w:p>
      <w:r>
        <w:t>IT: TF 1C_37/2016 del 28 gennaio 2016</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rPr>
          <w:b/>
        </w:rPr>
        <w:t>E. 1.1</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1.2</w:t>
      </w:r>
    </w:p>
    <w:p>
      <w:r>
        <w:t>Le recourant soutient qu'il aurait été condamné au terme d'une procédure viciée par des actes de corruption. Selon lui, un rapport de l'IPK serait à même de confirmer ses dires. Il produit un échange de courriers électroniques faisant état d'une enquête de l'IPK contre des officiers de police et précisant que des informations supplémentaires devraient être réclamées par la voie officielle. L'OFJ s'est déjà adressé à l'autorité requérante. Celle-ci a répondu, le 22 décembre 2015, que l'IPK ne serait pas impliqué dans une enquête en relation avec la procédure dirigée contre le recourant. Quant aux courriers électroniques produits par le recourant, ils évoquent une enquête contre des fonctionnaires de police, mais n'en précisent pas la cause. Ils confirment également que de plus amples informations ne peuvent pas être communiquées directement.</w:t>
      </w:r>
    </w:p>
    <w:p>
      <w:r>
        <w:t>La notion d'alibi au sens de l' art. 53 EIMP doit être comprise dans son sens littéral, c'est-à-dire comme la preuve que la personne poursuivie ne se trouvait pas sur les lieux de l'infraction au moment de sa commission ( ATF 113 Ib 282 consid. 3b). De simples arguments à décharge sont irrecevables de ce point de vue. Or, le recourant n'apporte aucune preuve formelle sur ce point. Il se contente d'affirmations générales concernant la corruption de magistrats et de policiers, sans nullement expliquer en quoi sa participation aux infractions pour lesquelles il a été condamné serait impossible. Si une enquête a bien été ouverte contre des policiers, rien n'indique que cela soit en lien avec la condamnation du recourant. Cela tendrait aussi à démontrer, de manière générale, que les accusations visant les fonctionnaires de police sont prises au sérieux dans l'Etat requérant.</w:t>
      </w:r>
    </w:p>
    <w:p>
      <w:r>
        <w:t>L'arrêt attaqué s'en tient dès lors à la pratique constante s'agissant de la notion d'alibi et de la réserve que doit s'imposer le juge de l'extradition à propos des faits exposés par l'autorité requérante. Il n'y a aucune question de principe.</w:t>
      </w:r>
    </w:p>
    <w:p>
      <w:r>
        <w:rPr>
          <w:b/>
        </w:rPr>
        <w:t>E. 2</w:t>
      </w:r>
    </w:p>
    <w:p>
      <w:r>
        <w:t>L'importance particulière du présent cas n'étant pas établie, le recours est par conséquent irrecevable. Le recourant ayant fait part de ses difficultés financières, il peut être renoncé à la perception de frais judiciaires. Le présent arrêt est rendu selon la procédure simplifiée de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