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1C_379/2018 vom 9. August 2018</w:t>
      </w:r>
    </w:p>
    <w:p>
      <w:r>
        <w:t>Bundesgericht, 2018-08-09, DE</w:t>
      </w:r>
    </w:p>
    <w:p>
      <w:r>
        <w:rPr>
          <w:b/>
        </w:rPr>
        <w:t xml:space="preserve">Quelle: </w:t>
      </w:r>
      <w:r>
        <w:t>https://mcp.opencaselaw.ch/entscheid/bger_1C_379_2018</w:t>
      </w:r>
    </w:p>
    <w:p>
      <w:r>
        <w:t>FR: TF 1C_379/2018 du 9 août 2018</w:t>
      </w:r>
    </w:p>
    <w:p>
      <w:r>
        <w:t>IT: TF 1C_379/2018 del 9 agosto 2018</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ein Sachgebiet, bei dem die Beschwerde insoweit nach Art. 84 Abs. 1 BGG möglich ist. Entgegen der Auffassung des Beschwerdeführers kann jedoch kein besonders bedeutender Fall angenommen werden.</w:t>
      </w:r>
    </w:p>
    <w:p>
      <w:r>
        <w:t>Die Vorinstanz hat sich mit den Einwänden des Beschwerdeführers einlässlich auseinandergesetzt. Ihre Erwägungen stützen sich auf die bundesgerichtliche Rechtsprechung und lassen keine Bundesrechtsverletzung erkennen. Das gilt insbesondere, soweit die Vorinstanz den Antrag des Beschwerdeführers auf Edition eines mutmasslich im Jahr 2009 verfassten Schreibens des Finanzamtes Düsseldorf abgewiesen hat (angefochtener Entscheid E. 6.4 S. 15 f.). Auf die Erwägungen der Vorinstanz kann gemäss Art. 109 Abs. 3 BGG vollumfänglich verwiesen werden. Rechtsfragen von grundsätzlicher Bedeutung stellen sich nicht. Auch sonst wie kommt der Angelegenheit keine aussergewöhnliche Tragweite zu. Für das Bundesgericht besteht deshalb kein Anlass, die Sache an die Hand zu nehmen.</w:t>
      </w:r>
    </w:p>
    <w:p>
      <w:r>
        <w:rPr>
          <w:b/>
        </w:rPr>
        <w:t>E. 2</w:t>
      </w:r>
    </w:p>
    <w:p>
      <w:r>
        <w:t>Die Beschwerde ist demnach unzulässig. Da sie aussichtslos war, kann die unentgeltliche Rechtspflege gemäss Art. 64 BGG nicht bewilligt werden. Von der Bedürftigkeit des Beschwerdeführers ist allerdings auszugehen. Mit Blick darauf wird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