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1C_379/2015 vom 1. September 2015</w:t>
      </w:r>
    </w:p>
    <w:p>
      <w:r>
        <w:t>Bundesgericht, 2015-09-01, FR</w:t>
      </w:r>
    </w:p>
    <w:p>
      <w:r>
        <w:rPr>
          <w:b/>
        </w:rPr>
        <w:t xml:space="preserve">Quelle: </w:t>
      </w:r>
      <w:r>
        <w:t>https://mcp.opencaselaw.ch/entscheid/bger_1C_379_2015</w:t>
      </w:r>
    </w:p>
    <w:p>
      <w:r>
        <w:t>FR: TF 1C_379/2015 du 1 septembre 2015</w:t>
      </w:r>
    </w:p>
    <w:p>
      <w:r>
        <w:t>IT: TF 1C_379/2015 del 1 settembre 2015</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w:t>
      </w:r>
    </w:p>
    <w:p>
      <w:r>
        <w:t>La présente espèce porte certes sur la transmission de renseignements touchant le domaine secret. Toutefois, compte tenu des faits à l'origine de la demande - il ne s'agit pas de délits politiques - et de la nature de la transmission envisagée, portant sur la documentation relative à un compte bancaire déterminé, le cas ne revêt en soi aucune importance particulière.</w:t>
      </w:r>
    </w:p>
    <w:p>
      <w:r>
        <w:rPr>
          <w:b/>
        </w:rPr>
        <w:t>E. 1.2</w:t>
      </w:r>
    </w:p>
    <w:p>
      <w:r>
        <w:t>La recourante tente de démontrer le contraire en relevant que selon l'arrêt attaqué, les exigences accrues posées pour les demandes d'entraide en matière d'escroquerie fiscale ne vaudraient pas en matière de fiscalité indirecte au sens de l'art. 50 de la Convention d'application de l'Accord de Schengen (CAAS). Il n'y a pas lieu de rechercher si, comme le prétend la recourante, il s'agit là d'une question de principe, dès lors que celle-ci est de toute façon sans pertinence sur l'issue de la cause. Il n'est en effet pas contesté par la recourante que la demande d'entraide satisfait aux conditions de motivation posées aux art. 14 CEEJ et 28 al. 2 EIMP en ce qui concerne les faits d'escroquerie reprochés à C.________. S'agissant de la recourante, l'autorité requérante soupçonne que les fonds versés sur son compte puissent provenir, directement ou non, des infractions décrites. Il ne lui est donc pas reproché d'avoir participé à cette dernière infraction, mais uniquement de s'être prêtée à une opération de blanchiment d'argent. L'autorité requérante n'avait dès lors pas à démontrer la participation de la recourante aux actes d'escroquerie, et de simples opérations de blanchiment ne sauraient être soumises à des exigences de motivation accrues. Quant à la violation prétendue du principe d'utilité potentielle, elle ne suffit pas non plus à faire de la présente cause une affaire de principe.</w:t>
      </w:r>
    </w:p>
    <w:p>
      <w:r>
        <w:rPr>
          <w:b/>
        </w:rPr>
        <w:t>E. 2</w:t>
      </w:r>
    </w:p>
    <w:p>
      <w:r>
        <w:t>Sur le vu de ce qui précède, le recours est irrecevable. Conformément à l' art. 66 al. 1 LTF , les frais judiciaires sont mis à la charge de la recourante qui succombe. Le présent arrêt est rendu selon la procédure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