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1C_379/2012 vom 11. September 2012</w:t>
      </w:r>
    </w:p>
    <w:p>
      <w:r>
        <w:t>Bundesgericht, 2012-09-11, DE</w:t>
      </w:r>
    </w:p>
    <w:p>
      <w:r>
        <w:rPr>
          <w:b/>
        </w:rPr>
        <w:t xml:space="preserve">Quelle: </w:t>
      </w:r>
      <w:r>
        <w:t>https://mcp.opencaselaw.ch/entscheid/bger_1C_379_2012</w:t>
      </w:r>
    </w:p>
    <w:p>
      <w:r>
        <w:t>FR: TF 1C_379/2012 du 11 septembre 2012</w:t>
      </w:r>
    </w:p>
    <w:p>
      <w:r>
        <w:t>IT: TF 1C_379/2012 del 11 settembre 2012</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t>Bei der Beantwortung der Frage, ob ein besonders bedeutender Fall gegeben ist, steht dem Bundesgericht ein weiter Ermessensspielraum zu ( BGE 134 IV 156 E. 1.3.1 S. 160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1.2.1</w:t>
      </w:r>
    </w:p>
    <w:p>
      <w:r>
        <w:t>Es geht hier um eine Auslieferung und damit ein Sachgebiet, bei dem die Beschwerde nach Art. 84 Abs. 1 BGG insoweit möglich ist. Es stellt sich die Frage, ob ein besonders bedeutender Fall gegeben sei.</w:t>
      </w:r>
    </w:p>
    <w:p>
      <w:r>
        <w:rPr>
          <w:b/>
        </w:rPr>
        <w:t>E. 1.2.2</w:t>
      </w:r>
    </w:p>
    <w:p>
      <w:r>
        <w:t>Der Beschwerdegegner beging den ihm vorgeworfenen Raub am 3. Oktober 1995. Am 4. April 1997 erging in Italien das erstinstanzliche Strafurteil, am 11. März 2004 - also rund 7 Jahre später - das zweitinstanzliche. Am 25. September 2009, also mehr als weitere 5 Jahre später, trat die Corte di Cassazione auf die vom Beschwerdegegner gegen das zweitinstanzliche Urteil erhobene Beschwerde nicht ein.</w:t>
      </w:r>
    </w:p>
    <w:p>
      <w:r>
        <w:t>Mit Zwischenentscheid vom 26. April 2012 wies die Vorinstanz das Bundesamt an, die italienischen Behörden einzuladen, sich dazu zu äussern, wie sie der überlangen Verfahrensdauer Rechnung zu tragen gedächten. Die Vorinstanz sistierte das Beschwerdeverfahren bis zum Eingang des entsprechenden Berichts.</w:t>
      </w:r>
    </w:p>
    <w:p>
      <w:r>
        <w:t>Mit dem angefochtenen Entscheid hob die Vorinstanz die Sistierung auf. Sie erwog (S. 6 E. 2.3), die ersuchende Behörde mache geltend, der Beschwerdegegner habe durch seine Abwesenheit an den Prozessen die lange Verfahrensdauer selbst verschuldet. Die Vorinstanz bemerkt, dieses Argument bringe die ersuchende Behörde zum ersten Mal vor und sie führe nicht weiter aus, inwiefern sich die Abwesenheit auf die Verfahrensdauer hätte auswirken können. Die ersuchende Behörde erkläre ausdrücklich, dass die Verfahrensdauer bei der Strafzumessung nicht berücksichtigt worden sei. Daher äussere sie sich auch nicht dazu, wie sie der Verfahrensdauer Rechnung zu tragen gedenke. Implizit lehne sie daher auch jegliche Kompensation im Sinne der Legge Pinto ab (wonach auf Antrag Entschädigungen für materielle und immaterielle Schäden, welche die Betroffenen durch eine überlange Verfahrensdauer erlitten haben, gewährt werden). Die ergänzenden Ausführungen der ersuchenden Behörde enthielten keine stichhaltigen Begründungen bezüglich der Verfahrensdauer im Sinne der Rechtsprechung des Europäischen Gerichtshofes für Menschenrechte und könnten die Zweifel nicht ausräumen, dass eine Verletzung des in Art. 6 EMRK gewährleisteten Beschleunigungsgebots vorliege. Daher sei von Art. 80p IRSG Gebrauch zu machen und die Rechtshilfe an die Auflage zu knüpfen, wonach Italien explizit eine Garantieerklärung abzugeben habe, die unangemessene Dauer des Verfahrens durch kompensatorische Massnahmen zu berücksichtigen. Das Bundesamt habe somit die italienischen Behörden einzuladen, innert angemessener Frist eine entsprechende Garantieerklärung abzugeben. Alsdann habe es zu prüfen, ob die Antwort des ersuchenden Staates den verlangten Auflagen genügt ( Art. 80p Abs. 3 IRSG ). Diese Verfügung könne mit Beschwerde beim Bundesstrafgericht angefochten werden ( Art. 80p Abs. 4 IRSG ).</w:t>
      </w:r>
    </w:p>
    <w:p>
      <w:r>
        <w:rPr>
          <w:b/>
        </w:rPr>
        <w:t>E. 1.2.3</w:t>
      </w:r>
    </w:p>
    <w:p>
      <w:r>
        <w:t>Nach der bundesgerichtlichen Rechtsprechung prüft die Schweiz die Auslieferungsvoraussetzungen des Europäischen Auslieferungsübereinkommens vom 13. Dezember 1957 (EAUe, SR 0.353.1) auch im Lichte ihrer grundrechtlichen völkerrechtlichen Verpflichtungen. Bei heiklen Konstellationen bestehen die schweizerischen Behörden beim ersuchenden Staat regelmässig auf förmlichen Garantieerklärungen bezüglich der Einhaltung der Grund- und Menschenrechte. Der ersuchende Staat kann in einem konkreten Einzelfall zur Einhaltung bestimmter Garantien als Bedingung für eine Auslieferung ausdrücklich verpflichtet werden. Das gilt auch bei Anwendbarkeit des Europäischen Auslieferungsübereinkommens ( BGE 134 IV 156 E. 6.3 f. S. 164 f. mit Hinweisen), und zwar auch dann, wenn es um die Auslieferung zum Vollzug eines vollstreckbaren Strafurteils geht (Urteil 1A.234/1997 vom 22. Oktober 1997 E. 2). Die Möglichkeit der Gewährung von Rechtshilfe unter Auflagen sieht Art. 80p IRSG ausdrücklich vor. Diese Bestimmung ist auch bei einer Auslieferung anwendbar ( BGE 134 IV 146 E. 6.10 S. 171 mit Hinweisen).</w:t>
      </w:r>
    </w:p>
    <w:p>
      <w:r>
        <w:t>Der Beschwerdeführer bringt nichts vor, was es rechtfertigen könnte, auf diese Rechtsprechung zurückzukommen. Der angefochtene Entscheid steht damit in Einklang und er beruht mit Art. 80p IRSG auf einer gesetzlichen Grundlage. Die Zeitspannen zwischen den Urteilen im italienischen Verfahren erscheinen als ausserordentlich lange. Die italienischen Behörden haben dafür, was der Beschwerdeführer nicht substanziiert in Frage stellt, keine plausible Erklärung gegeben. Wenn die Vorinstanz unter diesen Umständen vom ersuchenden Staat die erwähnte Garantieerklärung verlangt hat, ist das nachvollziehbar. Es geht um einen Entscheid im Einzelfall ("cas d'espèce"). Rechtliche Grundsatzfragen stellen sich nicht. Inwiefern der angefochtene Entscheid, wie der Beschwerdeführer behauptet, widersprüchlich sein soll, führt dieser nicht näher aus und ist nicht ersichtlich.</w:t>
      </w:r>
    </w:p>
    <w:p>
      <w:r>
        <w:t>Angesichts dessen besteht für das Bundesgericht - im Lichte der auch bei Auslieferungen restriktiven Praxis (oben E. 1.1) - kein Anlass, den vorliegenden Fall als besonders bedeutend einzustufen. Der Beschwerdegegner legt das (Vernehmlassung S. 3 ff.) zutreffend dar.</w:t>
      </w:r>
    </w:p>
    <w:p>
      <w:r>
        <w:t>Die Beschwerde ist danach unzulässig.</w:t>
      </w:r>
    </w:p>
    <w:p>
      <w:r>
        <w:rPr>
          <w:b/>
        </w:rPr>
        <w:t>E. 2</w:t>
      </w:r>
    </w:p>
    <w:p>
      <w:r>
        <w:t>Bei diesem Ausgang des Verfahrens sind keine Kosten zu erheben ( Art. 66 Abs. 4 BGG ). Die Eidgenossenschaft hat der Vertreterin des Beschwerdegegners für das bundesgerichtliche Verfahren eine Entschädigung zu bezahlen ( Art. 68 Abs. 1 und 2 BGG ). Der mit Rechnung vom 30. August 2012 geltend gemachte Betrag von Fr. 1'375.90 (inkl. Mehrwertsteuer) ist angemessen und zuzusprechen. Das Gesuch um unentgeltliche Rechtspflege und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