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379/2007 vom 7. Dezember 2007</w:t>
      </w:r>
    </w:p>
    <w:p>
      <w:r>
        <w:t>Bundesgericht, 2007-12-07, FR</w:t>
      </w:r>
    </w:p>
    <w:p>
      <w:r>
        <w:rPr>
          <w:b/>
        </w:rPr>
        <w:t xml:space="preserve">Quelle: </w:t>
      </w:r>
      <w:r>
        <w:t>https://mcp.opencaselaw.ch/entscheid/bger_1C_379_2007</w:t>
      </w:r>
    </w:p>
    <w:p>
      <w:r>
        <w:t>FR: TF 1C 379/2007 du 7 décembre 2007</w:t>
      </w:r>
    </w:p>
    <w:p>
      <w:r>
        <w:t>IT: TF 1C 379/2007 del 7 dicembre 2007</w:t>
      </w:r>
    </w:p>
    <w:p>
      <w:pPr>
        <w:pStyle w:val="Heading2"/>
      </w:pPr>
      <w:r>
        <w:t>Regeste</w:t>
      </w:r>
    </w:p>
    <w:p>
      <w:r>
        <w:t>annulation de la naturalisation facilitée | Droit de cité et droit des étrangers</w:t>
      </w:r>
    </w:p>
    <w:p>
      <w:pPr>
        <w:pStyle w:val="Heading2"/>
      </w:pPr>
      <w:r>
        <w:t>Erwägungen</w:t>
      </w:r>
    </w:p>
    <w:p>
      <w:r>
        <w:rPr>
          <w:b/>
        </w:rPr>
        <w:t>E. 1</w:t>
      </w:r>
    </w:p>
    <w:p>
      <w:r>
        <w:t>La décision attaquée ayant été rendue après le 1er janvier 2007, la loi fédérale du 17 juin 2005 sur le Tribunal fédéral (LTF; RS 173.110) est applicable à la présente procédure de recours ( art. 132 al. 1 LTF ).</w:t>
      </w:r>
    </w:p>
    <w:p>
      <w:r>
        <w:rPr>
          <w:b/>
        </w:rPr>
        <w:t>E. 2</w:t>
      </w:r>
    </w:p>
    <w:p>
      <w:r>
        <w:t>L'arrêt entrepris concerne l'annulation de la naturalisation facilitée accordée au recourant, si bien qu'il peut faire l'objet d'un recours en matière de droit public devant le Tribunal fédéral (art. 82 al. 1 let. a et 86 al. 1 let. a LTF, art. 29 al. 1 let . f RTF). Le motif d'exclusion de l' art. 83 let. b LTF n'entre pas en ligne de compte, dès lors qu'il s'agit en l'espèce de naturalisation facilitée et non pas de naturalisation ordinaire (cf. arrêt non publié 5A.7/2003 du 25 août 2003 et les références). Pour le surplus, le recourant a la qualité pour recourir au sens de l' art. 89 al. 1 LTF et les conditions formelles de recevabilité sont remplies, de sorte qu'il y a lieu d'entrer en matière.</w:t>
      </w:r>
    </w:p>
    <w:p>
      <w:r>
        <w:rPr>
          <w:b/>
        </w:rPr>
        <w:t>E. 3</w:t>
      </w:r>
    </w:p>
    <w:p>
      <w:r>
        <w:t>Conformément aux art. 41 al. 1 de la loi fédérale du 29 septembre 1952 sur l'acquisition et la perte de la nationalité suisse (LN; RS 141.0) et 14 al. 1 de l'ordonnance du 17 novembre 1999 sur l'organisation du DFJP (RS 172.213.1), l'Office fédéral des migrations (ODM) peut, avec l'assentiment de l'autorité du canton d'origine, annuler dans les cinq ans une naturalisation facilitée obtenue par des déclarations mensongères ou par la dissimulation de faits essentiels.</w:t>
      </w:r>
    </w:p>
    <w:p>
      <w:r>
        <w:rPr>
          <w:b/>
        </w:rPr>
        <w:t>E. 4</w:t>
      </w:r>
    </w:p>
    <w:p>
      <w:r>
        <w:t>La nature potestative de l' 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116 V 307 consid. 2 p. 310 et la jurisprudence citée).</w:t>
      </w:r>
    </w:p>
    <w:p>
      <w:r>
        <w:rPr>
          <w:b/>
        </w:rPr>
        <w:t>E. 5</w:t>
      </w:r>
    </w:p>
    <w:p>
      <w:r>
        <w:t>Pour qu'une naturalisation facilitée soit annulée, il ne suffit pas qu'elle ait été obtenue alors que l'une ou l'autre de ses conditions n'était pas remplie; il faut qu'elle ait été acquise grâce à un comportement déloyal et trompeur. S'il n'est pas besoin que ce comportement soit constitutif d'une escroquerie au sens du droit pénal, il est nécessaire que l'intéressé ait donné sciemment de fausses informations à l'autorité ou l'ait délibérément laissée dans l'erreur sur des faits qu'il savait essentiels ( ATF 132 II 113 consid. 3.1 p. 115 et les arrêts cités; arrêt 5A.36/2004 du 6 décembre 2004, consid. 1.2, in: REC 2005 p. 38).</w:t>
      </w:r>
    </w:p>
    <w:p>
      <w:r>
        <w:rPr>
          <w:b/>
        </w:rPr>
        <w:t>E. 6</w:t>
      </w:r>
    </w:p>
    <w:p>
      <w:r>
        <w:t>Le recourant soutient qu'on ne saurait lui reprocher de ne pas avoir mentionné l'existence des enfants conçus avec C.________. Il n'aurait pas faussement rempli la rubrique du formulaire de demande de naturalisation facilitée, puisqu'il l'avait simplement biffée. C'est donc à l'autorité qu'il aurait appartenu de solliciter des explications complémentaires. Quoi qu'il en soit, il estime qu'il aurait obtenu la nationalité suisse même en déclarant qu'il était le père d'enfants mineurs à l'étranger. En outre, on ne pourrait pas lui reprocher d'avoir divorcé d'un commun accord puisque le Code civil encouragerait une telle démarche. Enfin, la déclaration de son ex-épouse démontrerait l'existence d'une communauté conjugale effective et stable au moment de la signature de la déclaration commune.</w:t>
      </w:r>
    </w:p>
    <w:p>
      <w:r>
        <w:rPr>
          <w:b/>
        </w:rPr>
        <w:t>E. 7</w:t>
      </w:r>
    </w:p>
    <w:p>
      <w:r>
        <w:t>En l'espèce, le recourant ne manque pas d'audace lorsqu'il prétend que l'autorité aurait dû elle-même solliciter des éclaircissements supplémentaires quant à une éventuelle paternité. En ne remplissant pas correctement le questionnaire, le recourant a probablement spéculé sur une inattention de l'autorité. Il est cependant vrai que d'après les déclarations de son ex-épouse, il n'apparaît pas que l'existence des enfants du recourant ait été la cause du divorce. En revanche, on ne saurait exclure que, ayant été mise au courant, B.________ aurait refusé de contracter mariage avec le recourant. Elle a du reste même affirmé que ce dernier lui avait caché ces faits de peur de la perdre. Enfin, l'affirmation de l'autorité selon laquelle le recourant n'aurait pas obtenu la naturalisation facilitée sans un examen approfondi s'il avait révélé l'existence de ses enfants au Kosovo ne saurait être remise en question. En effet, il ressort du dossier qu'il est pour le moins douteux que le recourant n'ait jamais été marié à C.________. Or, cet élément aurait nécessité des investigations plus poussées. Si le recourant était déjà marié, il n'aurait en effet pas eu droit à la naturalisation facilitée (arrêt 5A.6/2003 du 24 juillet 2003 consid. 3.2). Dans ces conditions, il apparaît que le TAF n'a ni excédé ni abusé de son pouvoir d'appréciation en retenant que la naturalisation facilitée avait été obtenue frauduleusement. Le TAF, quand bien même cela n'était pas nécessaire, a en outre conclu que la communauté conjugale n'était plus étroite et effective au moment de la déclaration commune. Sur ce point, il peut être renvoyé au développement très complet du TAF ( art. 109 al. 3 LTF ). Il en va de même des divers éléments retenus et de leur succession qui pouvaient laisser présumer qu'au moment de la naturalisation, le recourant envisageait déjà un divorce.</w:t>
      </w:r>
    </w:p>
    <w:p>
      <w:r>
        <w:rPr>
          <w:b/>
        </w:rPr>
        <w:t>E. 8</w:t>
      </w:r>
    </w:p>
    <w:p>
      <w:r>
        <w:t>Manifestement mal fondé, le recours doit être rejeté ( art. 109 al. 2 let.a LTF ). 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