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1C_378/2020 vom 7. Juli 2020</w:t>
      </w:r>
    </w:p>
    <w:p>
      <w:r>
        <w:t>Bundesgericht, 2020-07-07, FR</w:t>
      </w:r>
    </w:p>
    <w:p>
      <w:r>
        <w:rPr>
          <w:b/>
        </w:rPr>
        <w:t xml:space="preserve">Quelle: </w:t>
      </w:r>
      <w:r>
        <w:t>https://mcp.opencaselaw.ch/entscheid/bger_1C_378_2020</w:t>
      </w:r>
    </w:p>
    <w:p>
      <w:r>
        <w:t>FR: TF 1C_378/2020 du 7 juillet 2020</w:t>
      </w:r>
    </w:p>
    <w:p>
      <w:r>
        <w:t>IT: TF 1C_378/2020 del 7 luglio 2020</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1.2</w:t>
      </w:r>
    </w:p>
    <w:p>
      <w:r>
        <w:t>La présente cause porte certes sur la transmission d'un procès-verbal d'audition, soit des renseignements touchant le domaine secret du recourant. Toutefois, compte tenu des faits à l'origine de la demande (des infractions de droit commun qui n'ont en soi aucun caractère politique) et de la nature de la transmission envisagée, le cas ne revêt aucune importance particulière.</w:t>
      </w:r>
    </w:p>
    <w:p>
      <w:r>
        <w:rPr>
          <w:b/>
        </w:rPr>
        <w:t>E. 1.3</w:t>
      </w:r>
    </w:p>
    <w:p>
      <w:r>
        <w:t>Comme motif d'entrée en matière, le recourant invoque l' art. 2 EIMP . Il soutient que les fuites parues au Portugal dans la presse au sujet de la procédure porteraient atteinte non seulement au secret de l'instruction, mais aussi au principe d'égalité des armes, à la présomption d'innocence et au droit à un procès équitable. Se plaignant en outre d'établissement arbitraire des faits, il relève que la procédure pénale était secrète entre 2014 et 2018, de sorte que l'auteur de ces informations détaillées sur le déroulement de l'enquête ne pourrait être que le Ministère public, lequel aurait été expressément cité comme source par la presse.</w:t>
      </w:r>
    </w:p>
    <w:p>
      <w:r>
        <w:t>Le recourant méconnaît que, selon la jurisprudence constante, des indiscrétions dans l'enquête pénale étrangère et l'écho qu'en font les médias, même en violation du secret de l'instruction, ne constituent pas en soi un défaut grave au sens de l' art. 2 EIMP ( ATF 115 Ib 69 consid. 6 p. 86/87; 110 Ib 173 consid. 6b p. 182-184; arrêts 1C_328/2017 du 15 juin 2017 consid. 1.3; 1C_596/2012 du 28 novembre 2012 consid. 2.4; 1A.212/2001 du 21 mars 2002 consid. 5.2.2). Cela étant, le recourant se fonde sur des hypothèses mais ne parvient pas à démontrer que les fuites en question émaneraient nécessairement du Ministère public. Par ailleurs, les déclarations faites ouvertement par le Procureur à la presse ne vont apparemment pas au-delà des indications que l'autorité de poursuite serait autorisée à donner sur l'objet et l'avancement de la procédure, dans une affaire d'une telle envergure et largement médiatisée. Cela étant, aucune question de principe ne se pose à ce sujet.</w:t>
      </w:r>
    </w:p>
    <w:p>
      <w:r>
        <w:rPr>
          <w:b/>
        </w:rPr>
        <w:t>E. 1.4</w:t>
      </w:r>
    </w:p>
    <w:p>
      <w:r>
        <w:t>Le recourant se plaint également de ce que sa conclusion subsidiaire, tendant à la transmission d'un courrier rectificatif, n'ait pas été traitée par la Cour des plaintes. A supposer qu'il faille y voir une violation du droit d'être entendu, celle-ci n'aurait manifestement pas la gravité nécessaire pour justifier une entrée en matière (cf. ATF 145 IV 99 consid. 1.5 p. 107). Les personnes touchées en Suisse par un acte d'entraide ne peuvent en effet exiger de voir transmettre à l'autorité requérante des renseignements et explications de leur choix, en complément à ceux qui ont été recueillis lors de l'exécution de la demande. S'il a la qualité de prévenu dans l'enquête au Portugal (l'audition du 13 juin 2018 avait aussi pour objet sa mise en prévention), le recourant pourra faire valoir ses arguments dans ce cadre.</w:t>
      </w:r>
    </w:p>
    <w:p>
      <w:r>
        <w:rPr>
          <w:b/>
        </w:rPr>
        <w:t>E. 2</w:t>
      </w:r>
    </w:p>
    <w:p>
      <w:r>
        <w:t>Sur le vu de ce qui précède, le cas ne revêt aucune importance particulière au sens de l' art. 84 LTF , dont il convient de rappeler que le but est de limiter fortement l'accès au Tribunal fédéral dans le domaine de l'entraide judiciaire, en ne permettant de recourir que dans un nombre limité de cas ( ATF 145 IV 99 consid. 1.2 p. 104; 133 IV 125 , 129, 131, 132).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