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378/2010 vom 17. September 2010</w:t>
      </w:r>
    </w:p>
    <w:p>
      <w:r>
        <w:t>Bundesgericht, 2010-09-17, IT</w:t>
      </w:r>
    </w:p>
    <w:p>
      <w:r>
        <w:rPr>
          <w:b/>
        </w:rPr>
        <w:t xml:space="preserve">Quelle: </w:t>
      </w:r>
      <w:r>
        <w:t>https://mcp.opencaselaw.ch/entscheid/bger_1C_378_2010</w:t>
      </w:r>
    </w:p>
    <w:p>
      <w:r>
        <w:t>FR: TF 1C 378/2010 du 17 septembre 2010</w:t>
      </w:r>
    </w:p>
    <w:p>
      <w:r>
        <w:t>IT: TF 1C 378/2010 del 17 settembre 2010</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La ricorrente sostiene che si sarebbe in presenza di un caso particolarmente importante essendo stati violati elementari principi procedurali, segnatamente quelli della doppia punibilità e della specialità. L'adempimento di queste condizioni non potrebbe infatti essere valutato a causa di un esposto dei fatti asseritamente carente, lesivo pure del diritto di essere sentito e che non indicherebbe alcuna fattispecie penale. Afferma che l'autorità estera non avrebbe menzionato gli atti corruttivi, il loro scopo, l'identità dei corruttori e dei corrotti, né avrebbe specificato gli estremi del reato di truffa. Al dire della ricorrente, la cessione dei crediti costituirebbe un contratto di diritto privato concluso da soggetti di diritto privato, per cui non vi sarebbero funzionari pubblici da corrompere.</w:t>
      </w:r>
    </w:p>
    <w:p>
      <w:r>
        <w:rPr>
          <w:b/>
        </w:rPr>
        <w:t>E. 2.2</w:t>
      </w:r>
    </w:p>
    <w:p>
      <w:r>
        <w:t>L'assunto non regge, ritenuto che manifestamente non si è in presenza di un caso particolarmente importante. In effetti, l'istanza precedente ha applicato la giurisprudenza del Tribunale federale relativa ai requisiti posti alla descrizione dei fatti nel quadro di una rogatoria, ricordando lo stato iniziale delle indagini estere e la portata del principio della doppia punibilità. Ha quindi ritenuto che i fatti indicati nella rogatoria, fatta la dovuta trasposizione, potrebbero costituire una fattispecie penalmente rilevante secondo il diritto svizzero, sostenendo inoltre, a titolo abbondanziale, che una persona coinvolta nell'inchiesta italiana può essere considerata quale "funzionario pubblico" secondo lo stesso diritto. L'istanza inferiore ha poi stabilito che la rogatoria non costituisce un'inammissibile ricerca indiscriminata di prove, spiegando infine dettagliatamente l'utilità potenziale dei documenti litigiosi per il procedimento penale italiano, argomenti con i quali la ricorrente si confronta solo in maniera generica. Ora, su questi punti, la criticata decisione non si scosta dalla giurisprudenza costante ( DTF 133 IV 131 consid. 3, 215 consid. 1.2; 136 IV 16 consid. 1 inedito; sentenza 1C_287/2008 del 12 gennaio 2009 consid. 1.3 in: Pra 2010 n. 22 pag. 141), né nella fattispecie si pone una questione giuridica di principio ( DTF 136 IV 20 consid. 1.2; 134 IV 156 consid. 1.3.3 e 1.3.4).</w:t>
      </w:r>
    </w:p>
    <w:p>
      <w:r>
        <w:rPr>
          <w:b/>
        </w:rPr>
        <w:t>E. 2.3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