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377/2022 vom 28. März 2022</w:t>
      </w:r>
    </w:p>
    <w:p>
      <w:r>
        <w:t>Bundesgericht, 2022-03-28, DE</w:t>
      </w:r>
    </w:p>
    <w:p>
      <w:r>
        <w:rPr>
          <w:b/>
        </w:rPr>
        <w:t xml:space="preserve">Quelle: </w:t>
      </w:r>
      <w:r>
        <w:t>https://mcp.opencaselaw.ch/entscheid/bger_1C_377_2022</w:t>
      </w:r>
    </w:p>
    <w:p>
      <w:r>
        <w:t>FR: TF 1C 377/2022 du 28 mars 2022</w:t>
      </w:r>
    </w:p>
    <w:p>
      <w:r>
        <w:t>IT: TF 1C 377/2022 del 28 marzo 2022</w:t>
      </w:r>
    </w:p>
    <w:p>
      <w:pPr>
        <w:pStyle w:val="Heading2"/>
      </w:pPr>
      <w:r>
        <w:t>Regeste</w:t>
      </w:r>
    </w:p>
    <w:p>
      <w:r>
        <w:t>Bauen ausserhalb der Bauzonen | Raumplanung und öffentliches Baurecht</w:t>
      </w:r>
    </w:p>
    <w:p>
      <w:pPr>
        <w:pStyle w:val="Heading2"/>
      </w:pPr>
      <w:r>
        <w:t>Erwägungen</w:t>
      </w:r>
    </w:p>
    <w:p>
      <w:r>
        <w:rPr>
          <w:b/>
        </w:rPr>
        <w:t>E. 1</w:t>
      </w:r>
    </w:p>
    <w:p>
      <w:r>
        <w:t>Die Gemeinde Rothenburg erteilte der B.________ AG mit Entscheid vom 28. März 2022 die Abbruchbewilligung für vier Gewerbegebäude sowie die Baubewilligung für den Ersatzneubau eines Getränkelagers mit Abholmarkt und Büroflächen und trat auf die Einsprache von A.________ mangels Legitimation nicht ein. Mit dem kommunalen Entscheid eröffnete die Gemeinde den Entscheid der Dienststelle Raum und Wirtschaft vom 23. Februar 2022, mit welchem die notwendige raumplanungsrechtliche Ausnahmebewilligung erteilt wurde, und in dem auf die Einsprache von A.________ ebenfalls nicht eingetreten wurde. Dagegen erhob A.________ am 19. April 2022 Beschwerde, auf welche das Kantonsgericht Luzern mit Urteil vom 25. Mai 2022 nicht eintrat. Das Kantonsgericht führte zusammenfassend aus, dass sich A.________ nicht mit der Eintretensfrage auseinandergesetzt habe. Er lege in keiner Weise dar, dass die Vorinstanzen zu Unrecht auf seine Einsprache nicht eingetreten seien. Die Beschwerde genüge den gesetzlichen Anforderungen nicht.</w:t>
      </w:r>
    </w:p>
    <w:p>
      <w:r>
        <w:rPr>
          <w:b/>
        </w:rPr>
        <w:t>E. 2</w:t>
      </w:r>
    </w:p>
    <w:p>
      <w:r>
        <w:t>A.________ führt mit Eingabe vom 24. Juni 2022 Beschwerde in öffentlich-rechtlichen Angelegenheiten gegen das Urteil des Kantonsgerichts Luzern vom 25. Mai 2022.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Der Beschwerdeführer setzt sich mit der Begründung des Kantonsgerichts, die zum Nichteintreten auf seine Beschwerde führte, nicht auseinander. Mit seinen sachfremden Ausführungen vermag er nicht aufzuzeigen, inwiefern die Begründung des Kantonsgerichts, die zum Nichteintreten auf seine Beschwerde führte, bzw. das Urteil des Kantonsgerichts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