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1C_376/2019 vom 17. Juli 2019</w:t>
      </w:r>
    </w:p>
    <w:p>
      <w:r>
        <w:t>Bundesgericht, 2019-07-17, IT</w:t>
      </w:r>
    </w:p>
    <w:p>
      <w:r>
        <w:rPr>
          <w:b/>
        </w:rPr>
        <w:t xml:space="preserve">Quelle: </w:t>
      </w:r>
      <w:r>
        <w:t>https://mcp.opencaselaw.ch/entscheid/bger_1C_376_2019</w:t>
      </w:r>
    </w:p>
    <w:p>
      <w:r>
        <w:t>FR: TF 1C_376/2019 du 17 juillet 2019</w:t>
      </w:r>
    </w:p>
    <w:p>
      <w:r>
        <w:t>IT: TF 1C_376/2019 del 17 luglio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400.-- sono poste a carico del ricorrente.</w:t>
      </w:r>
    </w:p>
    <w:p>
      <w:r>
        <w:rPr>
          <w:b/>
        </w:rPr>
        <w:t>E. 3</w:t>
      </w:r>
    </w:p>
    <w:p>
      <w:r>
        <w:t>Comunicazione al ricorrente, al Comune di Bellinzona, al Consiglio di Stato e al Tribunale amministrativo del Cantone Ticino.</w:t>
      </w:r>
    </w:p>
    <w:p>
      <w:r>
        <w:t>Losanna, 17 luglio 2019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Chaix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