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1C_376/2012 vom 6. Dezember 2012</w:t>
      </w:r>
    </w:p>
    <w:p>
      <w:r>
        <w:t>Bundesgericht, 2012-12-06, DE</w:t>
      </w:r>
    </w:p>
    <w:p>
      <w:r>
        <w:rPr>
          <w:b/>
        </w:rPr>
        <w:t xml:space="preserve">Quelle: </w:t>
      </w:r>
      <w:r>
        <w:t>https://mcp.opencaselaw.ch/entscheid/bger_1C_376_2012</w:t>
      </w:r>
    </w:p>
    <w:p>
      <w:r>
        <w:t>FR: TF 1C_376/2012 du 6 décembre 2012</w:t>
      </w:r>
    </w:p>
    <w:p>
      <w:r>
        <w:t>IT: TF 1C_376/2012 del 6 dicembre 2012</w:t>
      </w:r>
    </w:p>
    <w:p>
      <w:pPr>
        <w:pStyle w:val="Heading2"/>
      </w:pPr>
      <w:r>
        <w:t>Erwägungen</w:t>
      </w:r>
    </w:p>
    <w:p>
      <w:r>
        <w:rPr>
          <w:b/>
        </w:rPr>
        <w:t>E. 1.1</w:t>
      </w:r>
    </w:p>
    <w:p>
      <w:r>
        <w:t>Der angefochtene Beschluss des Verwaltungsgerichts ist ein letztinstanzlicher kantonaler Entscheid ( Art. 86 Abs. 1 lit. d BGG ) in einer Wiederherstellungsangelegenheit und stützt sich damit auf öffentliches Recht. Die Beschwerde in öffentlich-rechtlichen Angelegenheiten nach Art. 82 lit. a BGG steht auf dem Gebiet des Raumplanungs- und Baurechts zur Verfügung ( BGE 133 II 249 E. 1.2 S. 251, 400 E. 2.1 S. 404). Ausnahmegründe im Sinne von Art. 83 ff. BGG liegen nicht vor. Die Beschwerdeführerin nimmt am vorinstanzlichen Verfahren teil und ist nach Art. 89 Abs. 1 BGG zur Beschwerde legitimiert.</w:t>
      </w:r>
    </w:p>
    <w:p>
      <w:r>
        <w:rPr>
          <w:b/>
        </w:rPr>
        <w:t>E. 1.2</w:t>
      </w:r>
    </w:p>
    <w:p>
      <w:r>
        <w:t>Der Beschluss des Verwaltungsgerichts schliesst das Verfahren vor dieser Instanz nicht ab; es handelt sich um einen Zwischenentscheid (vgl. Art. 90 BGG ). Gemäss Art. 93 Abs. 1 BGG ist die Beschwerde gegen selbständig eröffnete Vor- und Zwischenentscheide, die nicht die Zuständigkeit oder den Ausstand betreffen (vgl. Art. 92 BGG ), nur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1.3</w:t>
      </w:r>
    </w:p>
    <w:p>
      <w:r>
        <w:t>Die Zweite Tatbestandsvariante (lit. b) von Art. 93 Abs. 1 BGG fällt hier von vornherein ausser Betracht. Die Beschwerdeführerin macht denn auch geltend, der angefochtene Beschluss könne für sie einen nicht wieder gutzumachenden Nachteil zur Folge haben (lit. a). Entgegen ihrer Auffassung ist ein solcher Nachteil jedoch nicht erkennbar. Es ist nicht einzusehen, weshalb der Beschwerdeführerin ein unwiederbringlicher Nachteil aus dem Umstand erwachsen soll, dass ihr das Verwaltungsgericht die gleiche Rückzugsmöglichkeit eröffnet hat (Ziff. 1 und 2 des Beschluss-Dispositivs), wie sie ihr nach Meinung der Vorinstanz bereits vor dem Baurekursgericht hätte eingeräumt werden sollen. Falls sie darin einen Rechtsfehler erblicken will, so kann sie eine entsprechende Rüge gegen den Endentscheid des Verwaltungsgerichts erheben. Das gilt auch hinsichtlich der Ziff. 3 des Dispositivs, wonach das Verwaltungsgericht im Fall eines Verzichts auf den Beschwerderückzug einen Endentscheid fällen werde. Ob das Verwaltungsgericht mit dieser Formulierung die Möglichkeit eines Rückweisungsentscheids ausschliessen wollte, wie die Beschwerdeführerin befürchtet, kann dahin gestellt bleiben. Es ist bzw. wäre der Beschwerdeführerin unbenommen, eine entsprechende Rüge im Anschluss an den Endentscheid der Vorinstanz zu erheben. Soweit sie vorbringt, die Androhung der Ersatzvornahme sei ohnehin nichtig, weil hierzu (nur) die Gemeinde und nicht das Baurekursgericht zuständig sei, ist sie darauf hinzuweisen, dass die Nichtigkeit einer Verfügung nur bei besonders schweren, offensichtlichen oder zumindest leicht erkennbaren Mängeln anzunehmen ist ( BGE 136 II 415 E. 3.2 S. 426 ; 129 I 361 E. 2.1 S. 363). Da die Rüge fehlender Anordnungskompetenz die kantonale Zuständigkeitsordnung und damit auch die Organisationsfreiheit der Kantone betrifft (vgl. BGE 134 I 125 E. 2.2 S. 129) und die Zwangsandrohung zudem gesetzlich eigens vorgesehen bzw. vorgeschrieben ist ( § 31 Abs. 1 PBG /ZH) und im Übrigen mit der zu vollstreckenden Anordnung verbunden werden kann ( § 31 Abs. 2 PBG /ZH), besteht kein Anlass, dass das Bundesgericht im jetzigen Verfahrensstadium insofern erstmals von einem besonders schweren Anordnungsmangel mit Nichtigkeitsfolge ausgeht und annimmt, der angefochtene Beschluss sei für die Beschwerdeführerin aus diesem Grunde mit einem nicht wieder gutzumachenden Nachteil verbunden. Auch hinsichtlich dieses Einwands ist die Beschwerdeführerin auf den ordentlichen Rechtsmittelweg zu verweisen (vgl. Art. 93 Abs. 3 BGG ).</w:t>
      </w:r>
    </w:p>
    <w:p>
      <w:r>
        <w:rPr>
          <w:b/>
        </w:rPr>
        <w:t>E. 1.4</w:t>
      </w:r>
    </w:p>
    <w:p>
      <w:r>
        <w:t>Nach dem Ausgeführten steht gegen den angefochtenen Beschluss die Beschwerde an das Bundesgericht nicht offen. Es ist darauf nicht einzutreten.</w:t>
      </w:r>
    </w:p>
    <w:p>
      <w:r>
        <w:rPr>
          <w:b/>
        </w:rPr>
        <w:t>E. 2</w:t>
      </w:r>
    </w:p>
    <w:p>
      <w:r>
        <w:t>Da die Beschwerdeführerin unterliegt, wird sie kostenpflichtig ( Art. 66 Abs. 1 BGG ). Parteientschädigungen an die verfahrensbeteiligten Behörden sind nicht geschuldet ( Art. 68 Abs. 3 BGG ). Indessen hat die Beschwerdeführerin dem Mitbeteiligten (Zürcher Heimatschutz) eine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