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1C_376/2008 vom 18. März 2009</w:t>
      </w:r>
    </w:p>
    <w:p>
      <w:r>
        <w:t>Bundesgericht, 2009-03-18, DE</w:t>
      </w:r>
    </w:p>
    <w:p>
      <w:r>
        <w:rPr>
          <w:b/>
        </w:rPr>
        <w:t xml:space="preserve">Quelle: </w:t>
      </w:r>
      <w:r>
        <w:t>https://mcp.opencaselaw.ch/entscheid/bger_1C_376_2008</w:t>
      </w:r>
    </w:p>
    <w:p>
      <w:r>
        <w:t>FR: TF 1C_376/2008 du 18 mars 2009</w:t>
      </w:r>
    </w:p>
    <w:p>
      <w:r>
        <w:t>IT: TF 1C_376/2008 del 18 marzo 2009</w:t>
      </w:r>
    </w:p>
    <w:p>
      <w:pPr>
        <w:pStyle w:val="Heading2"/>
      </w:pPr>
      <w:r>
        <w:t>Erwägungen</w:t>
      </w:r>
    </w:p>
    <w:p>
      <w:r>
        <w:rPr>
          <w:b/>
        </w:rPr>
        <w:t>E. 1.1</w:t>
      </w:r>
    </w:p>
    <w:p>
      <w:r>
        <w:t>Das angefochtene Urteil des Kantonsgerichts ist ein Endentscheid einer letzten kantonalen Instanz ( Art. 86 Abs. 1 lit. d BGG ). Ihm liegt ein Beschwerdeverfahren über ein Gesuch um Vornahme einer parzellenbezogenen Umzonung nach Art. 14 ff. des Bundesgesetzes vom 22. Juni 1979 über die Raumplanung (Raumplanungsgesetz, RPG; SR 700) zugrunde. Für die Rechtsmittel an Bundesbehörden gelten die allgemeinen Bestimmungen über die Bundesrechtspflege ( Art. 34 Abs. 1 RPG ). Da es sich bei der Nutzungsplanung nach Art. 14 ff. RPG um eine Angelegenheit des öffentlichen Rechts handelt und kein Ausschlussgrund gemäss Art. 83 ff. BGG greift, kann gegen den angefochtenen Entscheid Beschwerde in öffentlich-rechtlichen Angelegenheiten erhoben werden ( Art. 82 ff. BGG ; vgl. BGE 133 II 249 E. 1.2 S. 251, 409 E. 1.1 S. 411). Für die subsidiäre Verfassungsbeschwerde verbleibt somit kein Raum ( Art. 113 BGG ). Auf diese ist deshalb nicht einzutreten.</w:t>
      </w:r>
    </w:p>
    <w:p>
      <w:r>
        <w:rPr>
          <w:b/>
        </w:rPr>
        <w:t>E. 1.2</w:t>
      </w:r>
    </w:p>
    <w:p>
      <w:r>
        <w:t>Die Beschwerdeführer haben am vorinstanzlichen Verfahren teilgenommen und sind Eigentümer des Grundstücks, auf welches sich ihr Umzonungsbegehren bezieht. Sie sind vom angefochtenen Entscheid besonders berührt und berufen sich auf schutzwürdige Interessen. Ihre Beschwerdelegitimation ist gestützt auf Art. 89 Abs. 1 BGG zu bejahen ( BGE 133 II 249 E. 1.3 S. 252 ff.).</w:t>
      </w:r>
    </w:p>
    <w:p>
      <w:r>
        <w:rPr>
          <w:b/>
        </w:rPr>
        <w:t>E. 1.3</w:t>
      </w:r>
    </w:p>
    <w:p>
      <w:r>
        <w:t>Nicht einzutreten ist auf das Rechtsbegehren der Beschwerdeführer, soweit es sich auf den Entscheid der Raumplanungs-, Umwelt- und Baudirektion vom 9. August 2007 bezieht. Dieser Entscheid ist durch das Urteil des Kantonsgerichts ersetzt worden (sog. Devolutiveffekt) und gilt als inhaltlich mitangefochten (vgl. BGE 129 II 438 E. 1 S. 441; 125 II 29 E. 1c S. 33; mit Hinweisen).</w:t>
      </w:r>
    </w:p>
    <w:p>
      <w:r>
        <w:rPr>
          <w:b/>
        </w:rPr>
        <w:t>E. 1.4</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entsprechende Rüge überhaupt eingetreten werden kann, diese also wenigstens die minimalen Begründungsanforderungen von Art. 42 Abs. 2 BGG erfüllt ( BGE 134 II 244 E. 2.1 S. 245 f.). Strengere Begründungsanforderungen gelten, wenn wie im vorliegenden Fall die Verletzung von verfassungsmässigen Rechten geltend gemacht wird. Dies prüft das Bundesgericht nicht von Amtes wegen, sondern nur insoweit, als eine solche Rüge in der Beschwerde präzise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 130 I 258 E. 1.3 S. 261 mit Hinweisen). Wieweit die Vorbringen der Beschwerdeführer den hier genannten Anforderungen genügen, ist im Sachzusammenhang im Rahmen der nachfolgenden Erwägungen zu prüfen.</w:t>
      </w:r>
    </w:p>
    <w:p>
      <w:r>
        <w:rPr>
          <w:b/>
        </w:rPr>
        <w:t>E. 1.5</w:t>
      </w:r>
    </w:p>
    <w:p>
      <w:r>
        <w:t>Die übrigen Sachurteilsvoraussetzungen geben zu keinen weiteren Bemerkungen Anlass. Auf die Beschwerde in öffentlich-rechtlichen Angelegenheiten ist daher grundsätzlich einzutreten.</w:t>
      </w:r>
    </w:p>
    <w:p>
      <w:r>
        <w:rPr>
          <w:b/>
        </w:rPr>
        <w:t>E. 2</w:t>
      </w:r>
    </w:p>
    <w:p>
      <w:r>
        <w:t>Die Beschwerdeführer rügen, die Vorinstanz habe weder ihren Editionsanträgen entsprochen noch habe sie einen Augenschein oder eine Parteieinvernahme durchgeführt. Damit habe sie nicht nur den Anspruch auf rechtliches Gehör verletzt ( Art. 29 BV ), sondern auch gegen das Willkürverbot ( Art. 9 BV ) verstossen.</w:t>
      </w:r>
    </w:p>
    <w:p>
      <w:r>
        <w:rPr>
          <w:b/>
        </w:rPr>
        <w:t>E. 2.1</w:t>
      </w:r>
    </w:p>
    <w:p>
      <w:r>
        <w:t>Die Beschwerdeführer legen in keiner Weise dar, welcher entscheiderhebliche Sachverhalt mit den beantragten Beweismitteln hätte bewiesen werden sollen. Sie vermögen daher auch nicht darzutun, inwiefern eine Verletzung ihres Anspruchs auf rechtliches Gehör oder ein Verstoss gegen das Willkürverbot vorliegt, wenn die Vorinstanz auf eine entsprechende Beweiserhebung verzichtete. Die von den Beschwerdeführern in diesem Zusammenhang behaupteten Rechtsverletzungen sind somit nicht hinreichend begründet, weshalb darauf nicht einzutreten ist.</w:t>
      </w:r>
    </w:p>
    <w:p>
      <w:r>
        <w:rPr>
          <w:b/>
        </w:rPr>
        <w:t>E. 2.2</w:t>
      </w:r>
    </w:p>
    <w:p>
      <w:r>
        <w:t>Ebenso wenig ist der von den Beschwerdeführern gegenüber dem Gemeinderat, dem Bauamt und der Ortsplanungskommission von Wünnewil-Flamatt sowie gegenüber den kantonalen Behörden (Raumplanungs-, Umwelt- und Baudirektion) erhobene Vorwurf der Verletzung des Anspruchs auf rechtliches Gehör (Beschwerdeschrift S. 22) hinreichend begründet, weshalb auch darauf nicht einzutreten ist.</w:t>
      </w:r>
    </w:p>
    <w:p>
      <w:r>
        <w:rPr>
          <w:b/>
        </w:rPr>
        <w:t>E. 3</w:t>
      </w:r>
    </w:p>
    <w:p>
      <w:r>
        <w:t>Die Beschwerdeführer beantragen die Durchführung eines Augenscheins, legen aber in keiner Weise dar, welcher entscheiderhebliche Sachverhalt damit bewiesen werden soll. Dieser Beweisantrag ist daher abzulehnen.</w:t>
      </w:r>
    </w:p>
    <w:p>
      <w:r>
        <w:rPr>
          <w:b/>
        </w:rPr>
        <w:t>E. 4</w:t>
      </w:r>
    </w:p>
    <w:p>
      <w:r>
        <w:t>Die Beschwerdeführer bringen vor, die Vorinstanz hätte den Entscheid der Raumplanungs-, Umwelt- und Baudirektion daraufhin überprüfen müssen, ob er nicht überstürzt und voreilig erlassen worden war, weil zuerst die im Gange befindliche Revision der Ortsplanung hätte abgewartet werden müssen. Indem die Vorinstanz dies unterlassen habe, habe sie ihrem Urteil nicht den vollständigen Sachverhalt zugrunde gelegt, was willkürlich sei. Die laufende Revision der Ortsplanung müsse vorliegend berücksichtigt werden, weil daraus geschlossen werden könne, wie die Raumplanung im fraglichen Ortsteil in Zukunft gestaltet werden soll. Nach dem aufgelegten Nutzungsrichtplan sei vorgesehen, die Parzelle Nr. 607 zum Teil einer Wohnzone mittlerer Dichte und zum Teil einer Zone für öffentliche Nutzungen zuzuweisen. Im Übrigen entstehe den Beschwerdeführern mit der Rechtskraft des Nutzungsrichtplans ein Rechtsanspruch, die gewünschte Umzonung verlangen zu können.</w:t>
      </w:r>
    </w:p>
    <w:p>
      <w:r>
        <w:rPr>
          <w:b/>
        </w:rPr>
        <w:t>E. 4.1</w:t>
      </w:r>
    </w:p>
    <w:p>
      <w:r>
        <w:t>Die Vorinstanz führt aus, die im Rahmen der laufenden Revision des Nutzungsrichtplans der Gemeinde Wünnewil-Flamatt vorgesehene Zuweisung des hier zur Diskussion stehenden Teils der Parzelle Nr. 607 in das Gebiet der "Wohnzone mittlerer Dichte" ändere nichts an der fehlenden Zonenkonformität der streitigen Remise. Gemeinderichtpläne würden gemäss Art. 43 des Raumplanungs- und Baugesetzes des Kantons Freiburg vom 9. Mai 1983 (SGF 710.1) lediglich die allgemeinen Grundzüge der Entwicklung der Gemeinde umschreiben. Die laufende Revision des kommunalen Nutzungsrichtplans habe somit keinen Einfluss auf das vorliegende Verfahren.</w:t>
      </w:r>
    </w:p>
    <w:p>
      <w:r>
        <w:rPr>
          <w:b/>
        </w:rPr>
        <w:t>E. 4.2</w:t>
      </w:r>
    </w:p>
    <w:p>
      <w:r>
        <w:t>Die Erwägungen der Vorinstanz sind nicht zu beanstanden. Auch wenn der Nutzungsrichtplan der Gemeinde Wünnewil-Flamatt rechtskräftig ist, lassen sich daraus noch keine parzellenscharfen Aussagen hinsichtlich der Zonenzuweisung eines bestimmten Grundstücks ableiten. Dazu bedarf es des weiteren Aktes der Zonennutzungsplanung, die zwar den Richtplan zur Grundlage hat, aber doch eine eigenständige raumplanerische Aufgabe darstellt, in deren Rahmen die massgebenden öffentlichen und privaten Interessen umfassend gegeneinander abgewogen werden. Die Auffassung der Beschwerdeführer, aus dem Richtplaninhalt lasse sich ein Anspruch auf eine bestimmte Zonierung eines Grundstücks ableiten, ist denn auch unzutreffend. Nach ständiger Rechtsprechung des Bundesgerichts verleiht Art. 26 BV dem Grundeigentümer gegenüber den Planungsbehörden grundsätzlich keinen Rechtsanspruch auf Zuweisung seines Landes zu einer bestimmten Zone ( BGE 122 II 326 E. 6a S. 333, 455 E. 4a S. 457). Besondere Umstände, welche im vorliegenden Fall ausnahmsweise eine Einzonungspflicht begründen könnten, machen die Beschwerdeführer nicht geltend und sind auch nicht ersichtlich. Deren Rüge, die Vorinstanz habe das Willkürverbot verletzt, indem sie die im Gang befindliche Ortsplanung der Gemeinde Wünnewil-Flamatt nicht abgewartet habe, ist daher nicht stichhaltig.</w:t>
      </w:r>
    </w:p>
    <w:p>
      <w:r>
        <w:rPr>
          <w:b/>
        </w:rPr>
        <w:t>E. 5</w:t>
      </w:r>
    </w:p>
    <w:p>
      <w:r>
        <w:t>Die Beschwerdeführer rügen ferner, indem die Vorinstanz die von ihnen mit Eingabe vom 2. Juli 2008 erhobene Verwaltungsgerichtsbeschwerde gegen die Verweigerung einer nachträglichen Baubewilligung für die streitige Remise nicht beachtet habe, sei sie von einem unvollständigen und unzutreffenden Sachverhalt ausgegangen. Mit diesem Vorgehen habe die Vorinstanz die Möglichkeit widersprüchlicher Entscheide geschaffen, gegen das Willkürverbot verstossen und den Beschwerdeführern das rechtliche Gehör verweigert. Die Beschwerdeführer bringen vor, in der Beschwerde vom 2. Juli 2008 hätten sie nachgewiesen, dass die streitige Remise auch landwirtschaftlich genutzt werden könne und daher in der Landwirtschaftszone bewilligt werden müsse.</w:t>
      </w:r>
    </w:p>
    <w:p>
      <w:r>
        <w:t>Es trifft nicht zu, dass die Vorinstanz unbeachtet liess, dass die Beschwerdeführer gegen die Verweigerung ihres Gesuchs um nachträgliche Bewilligung der streitigen Remise am 2. Juli 2008 Verwaltungsgerichtsbeschwerde erhoben haben. Dieser Umstand wird im angefochtenen Entscheid ausdrücklich erwähnt (Seite 2 unten). Sodann ist nicht ersichtlich, wie mit einem angeblichen Nachweis einer möglichen landwirtschaftlichen Nutzung der Remise die in diesem Verfahren zur Diskussion stehende, von den Beschwerdeführern verlangte Umzonung des fraglichen Teilstücks der Parzelle Nr. 607 in eine Bauzone begründet werden soll. Es ist verfassungsrechtlich nicht zu beanstanden, dass die Vorinstanz den angefochtenen Entscheid schon vor dem Entscheid über die Beschwerde vom 2. Juli 2008 gefällt hat. Inwiefern die Vorinstanz damit den Anspruch der Beschwerdeführer auf rechtliches Gehör verletzt habe, führen sie nicht näher aus. Darauf ist deshalb nicht weiter einzutreten.</w:t>
      </w:r>
    </w:p>
    <w:p>
      <w:r>
        <w:rPr>
          <w:b/>
        </w:rPr>
        <w:t>E. 6</w:t>
      </w:r>
    </w:p>
    <w:p>
      <w:r>
        <w:t>Die Beschwerde in öffentlich-rechtlichen Angelegenheiten ist daher abzuweisen, soweit darauf eingetreten werden kann.</w:t>
      </w:r>
    </w:p>
    <w:p>
      <w:r>
        <w:t>Dem Ausgang des vorliegenden Verfahrens entsprechend sind die Gerichtskosten den unterliegenden Beschwerdeführern aufzuerlegen ( Art. 66 Abs. 1 und Abs. 5 BGG ). Parteientschädigungen sind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