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1C_375/2022 vom 8. Juli 2022</w:t>
      </w:r>
    </w:p>
    <w:p>
      <w:r>
        <w:t>Bundesgericht, 2022-07-08, IT</w:t>
      </w:r>
    </w:p>
    <w:p>
      <w:r>
        <w:rPr>
          <w:b/>
        </w:rPr>
        <w:t xml:space="preserve">Quelle: </w:t>
      </w:r>
      <w:r>
        <w:t>https://mcp.opencaselaw.ch/entscheid/bger_1C_375_2022</w:t>
      </w:r>
    </w:p>
    <w:p>
      <w:r>
        <w:t>FR: TF 1C_375/2022 du 8 juillet 2022</w:t>
      </w:r>
    </w:p>
    <w:p>
      <w:r>
        <w:t>IT: TF 1C_375/2022 del 8 luglio 2022</w:t>
      </w:r>
    </w:p>
    <w:p>
      <w:pPr>
        <w:pStyle w:val="Heading2"/>
      </w:pPr>
      <w:r>
        <w:t>Erwägungen</w:t>
      </w:r>
    </w:p>
    <w:p>
      <w:r>
        <w:rPr>
          <w:b/>
        </w:rPr>
        <w:t>E. 1.1</w:t>
      </w:r>
    </w:p>
    <w:p>
      <w:r>
        <w:t>L'atto di ricorso è redatto, legittimamente, in lingua francese ( art. 42 cpv. 1 LTF ). Non vi sono tuttavia motivi per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in materia di diritto pubblico è ammissibile soltanto se, come in concreto, concerne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 ricorrenti fanno valere che, sulla base di due scritti posteriori alla domanda di assistenza, si sarebbe in presenza di una questione di principio, poiché la rogatoria emanerebbe da un'autorità incompetente e sarebbe pertanto nulla, in quanto non "ratificata" da quella competente.</w:t>
      </w:r>
    </w:p>
    <w:p>
      <w:r>
        <w:t>A richiesta del MPC, con scritto dell'11 novembre 2021, l'autorità rogante ha confermato l'emanazione di una decisione del 5 marzo 2021 con la quale il 13° Tribunale Federale della Sottosezione Giudiziaria di Curitiba ha declinato la giurisdizione per perseguire e giudicare l'azione penale nell'ambito delle procedure corruttive C.________ / D.________ in favore del Tribunale Elettorale del Distretto Federale. Ha tuttavia aggiunto che la rogatoria è collegata anche ad altri due procedimenti penali condotti dalle autorità penali brasiliane, precisando che pure nell'ipotesi di un nuovo cambiamento di competenza l'interesse al mantenimento della rogatoria sussiste sempre ancora, ritenuto che in tal caso vi sarebbe soltanto una redistribuzione della domanda di assistenza ad un'altra unità del Ministero Pubblico Federale, senza nessuna alterazione nel merito.</w:t>
      </w:r>
    </w:p>
    <w:p>
      <w:r>
        <w:rPr>
          <w:b/>
        </w:rPr>
        <w:t>E. 2.2</w:t>
      </w:r>
    </w:p>
    <w:p>
      <w:r>
        <w:t>La CRP ha ritenuto che, secondo la prassi, l'autorità richiesta non è di massima tenuta a esaminare le decisioni emesse nel frattempo nello Stato richiedente e che quella sulla competenza repressiva spetta di principio a quest'ultimo, visto che l'assistenza internazionale in materia penale può essere rifiutata soltanto se lo Stato richiedente ammette in modo arbitrario la propria competenza. Questa conclusione non si scosta dalla costante prassi ( DTF 142 IV 250 consid. 6; 126 II 212 consid. 6), a maggior ragione visto che l'invocata decisione estera non intacca la competenza repressiva dello Stato richiedente. Ne ha concluso, richiamando la prassi (sentenze 1C_559/2009 dell'11 febbraio 2010 consid. 1 e 1A.218/2003 del 17 dicembre 2003 consid. 3.5), che la Svizzera quale Stato richiesto non è tenuta a valutare le decisioni interne relative al foro competente per perseguire i reati litigiosi, ritenuto che la rogatoria non è stata ritirata.</w:t>
      </w:r>
    </w:p>
    <w:p>
      <w:r>
        <w:rPr>
          <w:b/>
        </w:rPr>
        <w:t>E. 2.3</w:t>
      </w:r>
    </w:p>
    <w:p>
      <w:r>
        <w:t>I ricorrenti, insistendo sul fatto che nella fattispecie il Tribunale Elettorale del Distretto Federale non avrebbe (ancora) ratificato la rogatoria iniziale, sostengono che la CRP avrebbe interpretato le richiamate sentenze in maniera estremamente estensiva. Con questo assunto, ritenuto che l'autorità estera non ha comunque ritirato la domanda di assistenza, non dimostrano che nel caso di specie l'istanza precedente si sarebbe scostata dalla costante prassi, né si è in presenza, per lo meno riguardo a un procedimento penale, di un caso d'incompetenza manifesta, che farebbe apparire la rogatoria come abusiva (cfr. DTF 133 IV 40 consid. 4.2; 116 Ib 89 consid. 2c/aa; su questa prassi vedi ROBERT ZIMMERMANN, La coopération judiciaire internationale en matière pénale, 5aed. 2019, n. 558 pag. 591 seg., n. 560 pag. 593 e n. 658 pag. 716). Per di più l'invocata decisione brasiliana d'incompetenza, che indica l'interesse al mantenimento della rogatoria, riguarderebbe solo due dei tre procedimenti indicati nello scritto dell'11 novembre 2021, motivo per cui essa sarebbe comunque necessaria per un procedimento. Ne segue che, ammesso che la ricorrente abbia la sua sede in Brasile, in concreto la questione della competenza, già oggetto anche di altre cause D.________, non impone l'intervento del Tribunale federale (cfr. sentenze 1C_148/2021 del 24 marzo 2021 consid. 1, 1C_110/2021 del 22 marzo 2021 consid. 3.1 e 3.6, 1C_571/2019 del 17 dicembre 2019 consid. 5 e 1C_102/2021 del 22 marzo 2021 consid. 3.6). I ricorrenti non sollevano infine ulteriori critiche contro il mantenimento del sequestro.</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