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1C_373/2021 vom 28. Oktober 2021</w:t>
      </w:r>
    </w:p>
    <w:p>
      <w:r>
        <w:t>Bundesgericht, 2021-10-28, IT</w:t>
      </w:r>
    </w:p>
    <w:p>
      <w:r>
        <w:rPr>
          <w:b/>
        </w:rPr>
        <w:t xml:space="preserve">Quelle: </w:t>
      </w:r>
      <w:r>
        <w:t>https://mcp.opencaselaw.ch/entscheid/bger_1C_373_2021</w:t>
      </w:r>
    </w:p>
    <w:p>
      <w:r>
        <w:t>FR: TF 1C_373/2021 du 28 octobre 2021</w:t>
      </w:r>
    </w:p>
    <w:p>
      <w:r>
        <w:t>IT: TF 1C_373/2021 del 28 ottobre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Giova rilevare infine che la condizione dell'interesse a ricorrere è definita in modo più ampio nell'ambito del ricorso in materia di diritto pubblico, rispetto al ricorso sussidiario in materia costituzionale ( art. 113 LTF ), al quale accennano i ricorrenti. Quest'ultimo rimedio è quindi inammissibile (sentenza 2C_328/2018, citata, consid. 3).</w:t>
      </w:r>
    </w:p>
    <w:p>
      <w:r>
        <w:rPr>
          <w:b/>
        </w:rPr>
        <w:t>E. 6</w:t>
      </w:r>
    </w:p>
    <w:p>
      <w:r>
        <w:t>Ne segue che, in quanto ammissibili, i ricorsi devono essere respinti. Le spese seguono la soccombenza e sono quindi poste a carico di A.________ e dell'Unione Contadini Ticinesi ( art. 66 cpv. 1 LTF ). Si giustifica di non accollare spese a B.________, che si è ritirato dalla procedura ricorsuale (art. 66 cpv. 1 secondo periodo LTF).</w:t>
      </w:r>
    </w:p>
    <w:p>
      <w:r>
        <w:t>L'emanazione del presente giudizio rende priva d'oggetto la domanda di conferimento dell'effetto sospensivo ai ricorsi.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