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1C_372/2020 vom 10. August 2021</w:t>
      </w:r>
    </w:p>
    <w:p>
      <w:r>
        <w:t>Bundesgericht, 2021-08-10, FR</w:t>
      </w:r>
    </w:p>
    <w:p>
      <w:r>
        <w:rPr>
          <w:b/>
        </w:rPr>
        <w:t xml:space="preserve">Quelle: </w:t>
      </w:r>
      <w:r>
        <w:t>https://mcp.opencaselaw.ch/entscheid/bger_1C_372_2020</w:t>
      </w:r>
    </w:p>
    <w:p>
      <w:r>
        <w:t>FR: TF 1C_372/2020 du 10 août 2021</w:t>
      </w:r>
    </w:p>
    <w:p>
      <w:r>
        <w:t>IT: TF 1C_372/2020 del 10 agosto 2021</w:t>
      </w:r>
    </w:p>
    <w:p>
      <w:pPr>
        <w:pStyle w:val="Heading2"/>
      </w:pPr>
      <w:r>
        <w:t>Erwägungen</w:t>
      </w:r>
    </w:p>
    <w:p>
      <w:r>
        <w:rPr>
          <w:b/>
        </w:rPr>
        <w:t>E. 1</w:t>
      </w:r>
    </w:p>
    <w:p>
      <w:r>
        <w:t>Dans sa décision, le DTE a habilité l'intimée à déposer sans délai son projet de plan d'extraction et sa demande de permis d'exploiter, et a simultanément différé le projet de la recourante pour une vingtaine d'années. Cette décision relève expressément que l'issue de la procédure du plan d'extraction et d'autorisation d'exploiter de l'intimée est réservée. Elle ne statue donc pas définitivement sur l'un ou l'autre projet, mais empêche en l'état la recourante de requérir et d'obtenir à bref délai le droit d'exploiter le gisement qui se trouve sur ses parcelles. Dans la mesure où elle accorde la priorité à un projet, au détriment de l'autre, il s'agit bien d'une décision au sens tant de l'art. 3 al. 1 loi vaudoise sur la procédure administrative (LPA/VD, RS/VD 173.36) que de l' art. 82 let. a LTF . Avec raison, la recourante relève que la décision attaqué ne constitue pas un arbitrage au sens de l' art. 77 LTF .</w:t>
      </w:r>
    </w:p>
    <w:p>
      <w:r>
        <w:t>La recourante a qualité pour agir au sens de l'art. 89 al. 1 let. b et c LTF, et ses conclusions (tendant principalement à une réforme en sa faveur de l'arrêt attaqué et de la décision du DTE) sont recevables au regard de l' art. 107 al. 2 LTF .</w:t>
      </w:r>
    </w:p>
    <w:p>
      <w:r>
        <w:rPr>
          <w:b/>
        </w:rPr>
        <w:t>E. 1.1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Si le recours n'est pas recevable en vertu des al. 1 et 2 ou qu'il n'a pas été utilisé, les décisions préjudicielles et incidentes peuvent être attaquées par un recours contre la décision finale dans la mesure où elles influent sur le contenu de celle-ci ( art. 93 al. 3 LTF ).</w:t>
      </w:r>
    </w:p>
    <w:p>
      <w:r>
        <w:rPr>
          <w:b/>
        </w:rPr>
        <w:t>E. 1.2</w:t>
      </w:r>
    </w:p>
    <w:p>
      <w:r>
        <w:t>Selon son dispositif, la décision du DTE habilite l'intimée à déposer sans délai son projet de plan d'extraction et sa demande simultanée de permis d'exploiter (ch. 5.1); elle diffère pour une vingtaine d'années environ le projet et la demande de permis d'exploiter de la recourante (ch. 5.2). L'issue de la procédure d'adoption du plan d'extraction et d'autorisation d'exploiter est réservée, la décision en question "ne valant décision ni pour l'une ni pour l'autre" (ch. 5.3). Enfin, le département "se réserve la possibilité de revenir sur la présente décision au cas où le projet de plan d'extraction et la demande de permis d'exploiter déposés par la société simple B.________ différeraient de manière significative du projet présenté dans le cadre du présent arbitrage" (ch. 5.5).</w:t>
      </w:r>
    </w:p>
    <w:p>
      <w:r>
        <w:t>La décision en question ne statue donc pas définitivement sur les projets de plan d'extraction et les demandes de permis d'exploiter, mais fixe un ordre de priorité dans l'examen de ceux-ci. La recourante ne se voit pas définitivement écartée de la procédure puisque la décision réserve expressément les hypothèses dans lesquelles elle serait autorisée à présenter son propre projet sans attendre l'échéance du délai de vingt ans. Il s'agit par conséquent, à l'instar par exemple d'une autorisation préalable de droit des constructions (cf. arrêt 1C_594/2017 du 1er novembre 2017 consid 2.2 publié in SJ 2018 I 186), d'une décision d'ordre procédural, de caractère incident au sens de l' art. 93 al. 1 LTF et le recours ne serait recevable qu'en présence d'un préjudice irréparable.</w:t>
      </w:r>
    </w:p>
    <w:p>
      <w:r>
        <w:rPr>
          <w:b/>
        </w:rPr>
        <w:t>E. 1.3</w:t>
      </w:r>
    </w:p>
    <w:p>
      <w:r>
        <w:t>Selon la jurisprudence, le préjudice irréparable prévu par l' art. 93 al. 1 let. a LTF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w:t>
      </w:r>
    </w:p>
    <w:p>
      <w:r>
        <w:t>En l'occurrence, la recourante pourrait, comme on l'a vu, être autorisée à présenter son propre projet si celui de l'intimée devait finalement être écarté. En outre, en cas d'autorisation donnée à cette dernière, la recourante pourrait, à tout le moins en tant que propriétaire voisine du projet, former recours contre cette décision finale en reprenant le cas échéant les arguments soulevés céans s'ils présentent encore une pertinence (cf. art. 93 al. 3 LTF ). Le seul allongement de la procédure d'autorisation ne constitue pas, comme cela est rappelé ci-dessus, un préjudice irréparable. Quant à l'hypothèse visée à l' art. 93 al. 1 let b LTF , elle n'est pas non plus réalisée car l'admission du recours ne permettrait pas d'aboutir immédiatement à une décision finale, mais seulement à une autre décision, elle aussi incidente, en faveur de la recourante. Il n'y a dès lors pas lieu de déroger à la volonté du législateur fédéral, concrétisée à l' art. 93 LTF , selon laquelle le Tribunal fédéral ne doit être saisi qu'une seule fois d'une même affaire, au stade de la décision finale ( ATF 142 II 363 consid. 1.3; arrêt 4A_619/2020 du 17 février 2021 consid. 4.1 destiné à la publication).</w:t>
      </w:r>
    </w:p>
    <w:p>
      <w:r>
        <w:rPr>
          <w:b/>
        </w:rPr>
        <w:t>E. 2</w:t>
      </w:r>
    </w:p>
    <w:p>
      <w:r>
        <w:t>Sur le vu de ce qui précède, le recours est irrecevable. Les frais judiciaires sont mis à la charge de la recourante qui succombe ( art. 66 al. 1 LTF ), de même que l'indemnité de dépens allouée à l'intimée société simple B.________ qui a agi par un avocat ( art. 68 al. 1 et 2 LTF ). En vertu de l' art. 68 al. 4 LTF , la Municipalité de Ballens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