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1C_371/2017 vom 12. Juli 2017</w:t>
      </w:r>
    </w:p>
    <w:p>
      <w:r>
        <w:t>Bundesgericht, 2017-07-12, DE</w:t>
      </w:r>
    </w:p>
    <w:p>
      <w:r>
        <w:rPr>
          <w:b/>
        </w:rPr>
        <w:t xml:space="preserve">Quelle: </w:t>
      </w:r>
      <w:r>
        <w:t>https://mcp.opencaselaw.ch/entscheid/bger_1C_371_2017</w:t>
      </w:r>
    </w:p>
    <w:p>
      <w:r>
        <w:t>FR: TF 1C_371/2017 du 12 juillet 2017</w:t>
      </w:r>
    </w:p>
    <w:p>
      <w:r>
        <w:t>IT: TF 1C_371/2017 del 12 luglio 2017</w:t>
      </w:r>
    </w:p>
    <w:p>
      <w:pPr>
        <w:pStyle w:val="Heading2"/>
      </w:pPr>
      <w:r>
        <w:t>Erwägungen</w:t>
      </w:r>
    </w:p>
    <w:p>
      <w:r>
        <w:rPr>
          <w:b/>
        </w:rPr>
        <w:t>E. 1</w:t>
      </w:r>
    </w:p>
    <w:p>
      <w:r>
        <w:t>A.________ erhob mit Eingabe vom 25. Mai 2017 Beschwerde gegen den Entscheid der Sicherheitsdirektion des Kantons Zürich vom 25. April 2017 und stellte dabei u.a. ein Fristerstreckungsgesuch, um ihre Beschwerde ergänzen zu können. Der Abteilungspräsident der 3. Abteilung des Verwaltungsgerichts des Kantons Zürich wies mit Verfügung vom 30. Mai 2017 das Fristerstreckungsgesuch ab und forderte die Beschwerdeführerin auf, innert einer nicht erstreckbaren Nachfrist von 10 Tagen eine verbesserte Beschwerdeschrift im Sinne der Erwägungen einzureichen, ansonsten auf die Beschwerde nicht eingetreten würde.</w:t>
      </w:r>
    </w:p>
    <w:p>
      <w:r>
        <w:rPr>
          <w:b/>
        </w:rPr>
        <w:t>E. 2</w:t>
      </w:r>
    </w:p>
    <w:p>
      <w:r>
        <w:t>A.________ führt mit Eingabe vom 8. Juli 2017 Beschwerde in öffentlich-rechtlichen Angelegenheiten gegen die Verfügung des Verwaltungsgerichts des Kantons Zürich vom 30. Mai 2017. Das Bundesgericht verzichtet auf die Einholung von Vernehmlassungen.</w:t>
      </w:r>
    </w:p>
    <w:p>
      <w:r>
        <w:rPr>
          <w:b/>
        </w:rPr>
        <w:t>E. 3.1</w:t>
      </w:r>
    </w:p>
    <w:p>
      <w:r>
        <w:t>Bei der angefochtenen Verfügung des Verwaltungsgerichts handelt sich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Beschwerdeführerin behauptet zwar das Vorliegen der Eintretensvoraussetzungen von Art. 93 Abs. 1 BGG . Aus ihren nicht nachvollziehbaren Ausführungen ergibt sich indessen nicht ansatzweise, inwiefern ihr ein nicht wieder gutzumachender Nachteil im Sinne von Art. 93 Abs. 1 lit. a BGG entstehen sollte, der auch durch einen für sie günstigen späteren Entscheid nicht mehr behoben werden könnte. Im Weitern führt eine Gutheissung der vorliegenden Beschwerde offensichtlich nicht sofort zu einem Endentscheid. Da die Beschwerdevoraussetzungen von Art. 93 Abs. 1 BGG offensichtlich weder dargetan noch ersichtlich sind, ist im vereinfachten Verfahren nach Art. 108 BGG auf die Beschwerde nicht einzutreten.</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