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371/2015 vom 4. Januar 2016</w:t>
      </w:r>
    </w:p>
    <w:p>
      <w:r>
        <w:t>Bundesgericht, 2016-01-04, DE</w:t>
      </w:r>
    </w:p>
    <w:p>
      <w:r>
        <w:rPr>
          <w:b/>
        </w:rPr>
        <w:t xml:space="preserve">Quelle: </w:t>
      </w:r>
      <w:r>
        <w:t>https://mcp.opencaselaw.ch/entscheid/bger_1C_371_2015</w:t>
      </w:r>
    </w:p>
    <w:p>
      <w:r>
        <w:t>FR: TF 1C 371/2015 du 4 janvier 2016</w:t>
      </w:r>
    </w:p>
    <w:p>
      <w:r>
        <w:t>IT: TF 1C 371/2015 del 4 gennaio 2016</w:t>
      </w:r>
    </w:p>
    <w:p>
      <w:pPr>
        <w:pStyle w:val="Heading2"/>
      </w:pPr>
      <w:r>
        <w:t>Regeste</w:t>
      </w:r>
    </w:p>
    <w:p>
      <w:r>
        <w:t>Anordnung einer vertrauensärztlichen Untersuchung nach Art. 15d Abs. 2 SVG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Das Obergericht hat angeordnet, dem Beschwerdeführer Frist anzusetzen, um seine Fahrtauglichkeit von einem Internisten abklären zu lassen und ein entsprechendes Attest beizubringen. Nachdem der Beschwerdeführer nun während des bundesgerichtlichen Verfahrens ein solches Zeugnis eingereicht und die Staatsanwaltschaft es anerkannt hat, ist die Beschwerde in der Sache gegenstandslos geworden. Damit stellt sich auch die Frage nicht mehr, ob und unter welchen Umständen die Fahreignung mit ausländischen Zeugnissen nachgewiesen werden kann. Der Beschwerdeführer stellt zudem Ersatzforderungen für Schäden, die ihm durch unsorgfältiges Verhalten von Ärzten, der Staatsanwaltschaft und des Regierungsrats erwachsen seien. Solche Entschädigungsforderungen können indessen nicht Gegenstand des vorliegenden Beschwerdeverfahrens sein, darauf ist nicht einzutreten. Der Beschwerdeführer müsste die Ärzte und staatlichen Organe bzw. den Kanton Schaffhausen, die ihn geschädigt haben sollen, direkt ins Recht fassen und auf Schadenersatz verklagen bzw. Staatshaftung geltend machen.</w:t>
      </w:r>
    </w:p>
    <w:p>
      <w:r>
        <w:rPr>
          <w:b/>
        </w:rPr>
        <w:t>E. 2</w:t>
      </w:r>
    </w:p>
    <w:p>
      <w:r>
        <w:t>Die Beschwerde ist somit, soweit darauf einzutreten ist, als gegenstandslos abzuschreiben. Es rechtfertigt sich unter den gegebenen Umständen,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