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1C_371/2013 vom 3. Mai 2013</w:t>
      </w:r>
    </w:p>
    <w:p>
      <w:r>
        <w:t>Bundesgericht, 2013-05-03, IT</w:t>
      </w:r>
    </w:p>
    <w:p>
      <w:r>
        <w:rPr>
          <w:b/>
        </w:rPr>
        <w:t xml:space="preserve">Quelle: </w:t>
      </w:r>
      <w:r>
        <w:t>https://mcp.opencaselaw.ch/entscheid/bger_1C_371_2013</w:t>
      </w:r>
    </w:p>
    <w:p>
      <w:r>
        <w:t>FR: TF 1C_371/2013 du 3 mai 2013</w:t>
      </w:r>
    </w:p>
    <w:p>
      <w:r>
        <w:t>IT: TF 1C_371/2013 del 3 maggio 2013</w:t>
      </w:r>
    </w:p>
    <w:p>
      <w:pPr>
        <w:pStyle w:val="Heading2"/>
      </w:pPr>
      <w:r>
        <w:t>Erwägungen</w:t>
      </w:r>
    </w:p>
    <w:p>
      <w:r>
        <w:rPr>
          <w:b/>
        </w:rPr>
        <w:t>E. 1.1</w:t>
      </w:r>
    </w:p>
    <w:p>
      <w:r>
        <w:t>Secondo l' art. 109 cpv. 1 LTF , la corte giudica nella composizione di tre giudici circa la non entrata in materia su ricorsi soggetti all'esigenza dell' art. 84 LTF . Questa norma dispone che contro le decisioni emanate nel campo dell'assistenza giudiziaria internazionale in materia penale il ricorso è ammissibile soltanto se, tra l'altro, come nella fattispecie, concerne la comunicazione di informazioni inerenti alla sfera segreta e, inoltre, se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136 IV 16 consid. 1 inedito) o non si ponga una questione giuridica di principio ( DTF 136 IV 20 consid. 1.2; 134 IV 156 consid. 1.3.3 e 1.3.4).</w:t>
      </w:r>
    </w:p>
    <w:p>
      <w:r>
        <w:rPr>
          <w:b/>
        </w:rPr>
        <w:t>E. 1.2</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alla ricorrente spiegare perché la causa adempirebbe queste condizioni (art. 42 cpv. 2 secondo periodo LTF; DTF 133 IV 131 consid. 3).</w:t>
      </w:r>
    </w:p>
    <w:p>
      <w:r>
        <w:rPr>
          <w:b/>
        </w:rPr>
        <w:t>E. 2.1</w:t>
      </w:r>
    </w:p>
    <w:p>
      <w:r>
        <w:t>La ricorrente sostiene, a torto, che si sarebbe in presenza di un caso particolarmente importante, accennando al fatto che l'avv. B.________ avrebbe chiesto al Ministero pubblico l'avvio di indagini nei confronti del magistrato italiano, per il titolo di reato di sviamento della giustizia, poiché nell'ambito di un'udienza preliminare svoltasi a Lugano il magistrato estero non avrebbe riferito correttamente circa il procedimento italiano. Il citato legale avrebbe inoltre sporto una denuncia dinanzi alle autorità italiane.</w:t>
      </w:r>
    </w:p>
    <w:p>
      <w:r>
        <w:t>L'asserita violazione del diritto di essere sentito, a causa della pretesa carenza di motivazione della decisione impugnata su questa questione, supposta data, non rappresenterebbe in sé un vizio grave ai sensi dell' art. 84 LTF (sentenza 1C_323/2013 del 27 marzo 2013 consid. 1.3), ricordato che la procedura di assistenza costituisce una semplice procedura amministrativa, che non persegue lo scopo di statuire sulla colpevolezza penale dell'interessato. Per di più, la criticata decisione si esprime comunque al riguardo e sui punti rilevanti per il giudizio ( DTF 138 I 232 consid. 5.1): quello relativo alla contestata colpevolezza di terzi, segnatamente dell'imputata, esula dall'oggetto del litigio. D'altra parte, il fatto che il Ministero pubblico non avrebbe atteso l'esito delle denunce sporte da terzi in Italia, prima di chiudere la procedura di assistenza, non rappresenta una grave lacuna ai sensi dell' art. 84 cpv. 2 LTF .</w:t>
      </w:r>
    </w:p>
    <w:p>
      <w:r>
        <w:rPr>
          <w:b/>
        </w:rPr>
        <w:t>E. 2.1.1</w:t>
      </w:r>
    </w:p>
    <w:p>
      <w:r>
        <w:t>La conclusione dell'istanza precedente, secondo cui la ricorrente, quale persona giuridica, contrariamente all'accusato che si trova sul territorio dello Stato richiedente, non può di massima far valere censure relative all' art. 2 AIMP (RS 351.1), corrisponde alla prassi ( DTF 133 IV 40 consid. 7.2). La stessa conclusione vale per il fatto che neppure l'imputata, né titolare del conto litigioso né sottoposta direttamente a misure coercitive, e quindi non legittimata a ricorrere, possa avvalersi delle garanzie della citata norma ( DTF 130 II 217 consid. 8.2 pag. 228). D'altra parte, in concreto, la ricorrente nemmeno rende verosimile l'esistenza di un rischio serio e oggettivo di una grave violazione dei principi procedurali garantiti dalla CEDU ( DTF 130 II 217 consid. 8.1 pag. 227). Nella misura in cui rileva d'essere legittimata a ricorrere "quale mandataria dell'avv. B.________", il gravame è inammissibile poiché tende a tutelare interessi di terzi ( DTF 137 IV 134 consid. 5.2, 5.2.2-5.2.3 e rinvii).</w:t>
      </w:r>
    </w:p>
    <w:p>
      <w:r>
        <w:rPr>
          <w:b/>
        </w:rPr>
        <w:t>E. 2.1.2</w:t>
      </w:r>
    </w:p>
    <w:p>
      <w:r>
        <w:t>Anche riguardo al requisito della doppia punibilità l'istanza precedente si è attenuta alla costante prassi. La ricorrente insiste, sempre a torto, sulla tesi secondo cui il reato di appropriazione indebita non sarebbe perseguibile in Italia per l'assenza di presupposti processuali, segnatamente a causa dell'asserita mancanza di una tempestiva querela, ciò che renderebbe abusiva la domanda di assistenza. Aggiunge che, in assenza della querela, l'assistenza sarebbe chiesta per un reato diverso da quello indicato nella domanda, in quanto fondato su una circostanza aggravante per renderlo perseguibile d'ufficio. L'assunto non è decisivo poiché non occorre di massima esaminare la punibilità secondo il diritto estero: quest'ultima nella fattispecie non è comunque manifestamente esclusa al punto da rendere abusiva la domanda estera ( DTF 124 II 184 ; 122 II 134 consid. 7b pag. 134; sentenza 1C_123/2007 del 25 maggio 2007 consid. 1.3, in RtiD 2008 II n. 39). La circostanza che il prospettato reato sia perseguibile d'ufficio o soltanto su querela non costituisce un caso particolarmente importante e ciò non osta alla concessione dell'assistenza poiché, per giurisprudenza costante, sulla quale non v'è motivo di rivenire, la querela penale è presupposto processuale e non condizione di punibilità: la tempestività o meno della querela e i motivi per i quali è stata inoltrata sono quindi ininfluenti ( DTF 122 II 134 consid. 7b pag. 137; 98 IV 146 consid. 2; sentenze 1A.213/1994 del 17 maggio 1995 consid. 3b, in Rep 1995 pag. 120 e 1A.202/2002 del 14 febbraio 2003 consid. 3.1)</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