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1C_371/2008 vom 2. September 2008</w:t>
      </w:r>
    </w:p>
    <w:p>
      <w:r>
        <w:t>Bundesgericht, 2008-09-02, FR</w:t>
      </w:r>
    </w:p>
    <w:p>
      <w:r>
        <w:rPr>
          <w:b/>
        </w:rPr>
        <w:t xml:space="preserve">Quelle: </w:t>
      </w:r>
      <w:r>
        <w:t>https://mcp.opencaselaw.ch/entscheid/bger_1C_371_2008</w:t>
      </w:r>
    </w:p>
    <w:p>
      <w:r>
        <w:t>FR: TF 1C_371/2008 du 2 septembre 2008</w:t>
      </w:r>
    </w:p>
    <w:p>
      <w:r>
        <w:t>IT: TF 1C_371/2008 del 2 settembre 2008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1.2</w:t>
      </w:r>
    </w:p>
    <w:p>
      <w:r>
        <w:t>En l'occurrence, la décision de clôture porte bien sur la transmission de documents concernant le domaine secret. Le recourant estime que la procédure pénale française comporterait des vices graves: d'une part, les autorités répressives ne seraient pas compétentes pour instruire à propos des actes de blanchiment commis à l'étranger; d'autre part, la demande d'entraide serait purement investigatoire, le magistrat requérant n'ayant d'autre but que la recherche de l'origine des avoirs de Y.________.</w:t>
      </w:r>
    </w:p>
    <w:p>
      <w:r>
        <w:rPr>
          <w:b/>
        </w:rPr>
        <w:t>E. 1.3</w:t>
      </w:r>
    </w:p>
    <w:p>
      <w:r>
        <w:t>En dépit des explications du recourant,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La procédure pénale ouverte en France ne présente aucun caractère politique particulier qui pourrait justifier une application de l' art. 3 al. 1 EIMP ( ATF 133 IV 40 consid. 7.3). Le recourant, qui est domicilié en Suisse et n'est pas visé par la procédure pénale française, n'est pas susceptible de pâtir des vices qu'il allègue à ce propos; la question du défaut de compétence des autorités répressives françaises pourra d'ailleurs, le cas échéant, être soulevée par les personnes visées; la présentation d'une requête d'entraide prétendument exploratoire ne constitue manifestement pas, du point de vue des autorités répressives françaises, une violation de principes fondamentaux assimilable à un défaut grave de la procédure. Quant aux objections soulevées sur le fond, notamment quant au principe de la double incrimination et au droit d'être entendu, elles ne suffisent évidemment pas à faire du présent cas une affaire de principe.</w:t>
      </w:r>
    </w:p>
    <w:p>
      <w:r>
        <w:rPr>
          <w:b/>
        </w:rPr>
        <w:t>E. 2</w:t>
      </w:r>
    </w:p>
    <w:p>
      <w:r>
        <w:t>Le recours est par conséquent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