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1C_370/2017 vom 4. Juli 2018</w:t>
      </w:r>
    </w:p>
    <w:p>
      <w:r>
        <w:t>Bundesgericht, 2018-07-04, FR</w:t>
      </w:r>
    </w:p>
    <w:p>
      <w:r>
        <w:rPr>
          <w:b/>
        </w:rPr>
        <w:t xml:space="preserve">Quelle: </w:t>
      </w:r>
      <w:r>
        <w:t>https://mcp.opencaselaw.ch/entscheid/bger_1C_370_2017</w:t>
      </w:r>
    </w:p>
    <w:p>
      <w:r>
        <w:t>FR: TF 1C_370/2017 du 4 juillet 2018</w:t>
      </w:r>
    </w:p>
    <w:p>
      <w:r>
        <w:t>IT: TF 1C_370/2017 del 4 luglio 2018</w:t>
      </w:r>
    </w:p>
    <w:p>
      <w:pPr>
        <w:pStyle w:val="Heading2"/>
      </w:pPr>
      <w:r>
        <w:t>Erwägungen</w:t>
      </w:r>
    </w:p>
    <w:p>
      <w:r>
        <w:rPr>
          <w:b/>
        </w:rPr>
        <w:t>E. 1</w:t>
      </w:r>
    </w:p>
    <w:p>
      <w:r>
        <w:t>Dirigé contre une décision finale rendue en dernière instance cantonale dans le domaine du droit public, le recours est recevable comme recours en matière de droit public conformément aux art. 82 ss LTF , aucune des exceptions prévues à l' art. 83 LTF n'étant réalisée. La recourante a pris part à la procédure devant la Cour de justice; elle est particulièrement touchée par l'arrêt attaqué qui confirme la diminution de l'état locatif provisoire agréé le 14 janvier 2009. Elle a donc la qualité pour agir au sens de l' art. 89 al. 1 LTF . Pour le surplus, le recours est formé dans le délai utile, de sorte qu'il y a lieu d'entrer en matière.</w:t>
      </w:r>
    </w:p>
    <w:p>
      <w:r>
        <w:rPr>
          <w:b/>
        </w:rPr>
        <w:t>E. 2</w:t>
      </w:r>
    </w:p>
    <w:p>
      <w:r>
        <w:t>La recourante fait valoir que la décision entreprise procède d'une application arbitraire de l'art. 42 LGL et viole la garantie de la propriété, en raison du non-respect du principe de la proportionnalité. Elle critique pour l'essentiel la réduction du budget des charges d'exploitation et celle de l'état locatif agréé qui en découle.</w:t>
      </w:r>
    </w:p>
    <w:p>
      <w:r>
        <w:rPr>
          <w:b/>
        </w:rPr>
        <w:t>E. 2.1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142 II 369 consid. 4.3 p. 380; 141 III 564 consid. 4.1 p. 566; 141 I 49 consid. 3.4 p. 53).</w:t>
      </w:r>
    </w:p>
    <w:p>
      <w:r>
        <w:rPr>
          <w:b/>
        </w:rPr>
        <w:t>E. 2.2</w:t>
      </w:r>
    </w:p>
    <w:p>
      <w:r>
        <w:t>La garantie de la propriété ancrée à l' art. 26 al. 1 Cst. , qui protège les droits patrimoniaux tel que celui de conserver sa propriété, d'en jouir et de l'aliéner ( ATF 131 I 333 consid. 3.1 p. 338), n'est pas absolue. Conformément à l' art. 36 Cst. , une restriction à ce droit fondamental est admissible à condition de reposer sur une base légale, d'être justifiée par un intérêt public et, selon le principe de proportionnalité, de se limiter à ce qui est nécessaire et adéquat à la réalisation des buts d'intérêt public poursuivis, sans violer l'essence du droit en question.</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p. 235). Le Tribunal fédéral examine en principe librement les questions d'intérêt public et de la proportionnalité, en s'imposant toutefois une certaine réserve lorsqu'il s'agit de tenir compte de circonstances locales ou de trancher de pures questions d'appréciation ( ATF 140 I 168 consid. 4.2.1 p. 173).</w:t>
      </w:r>
    </w:p>
    <w:p>
      <w:r>
        <w:rPr>
          <w:b/>
        </w:rPr>
        <w:t>E. 2.3</w:t>
      </w:r>
    </w:p>
    <w:p>
      <w:r>
        <w:t>La LGL a pour but d'encourager la construction de logements d'utilité publique et d'améliorer la qualité de l'habitat, notamment par des prestations d'ordre financier (art. 1 LGL). Cette loi prévoit que l'Etat instaure un contrôle des loyers sur tous les logements construits par ou avec l'aide de l'Etat de Genève; les logements ou locaux situés dans des immeubles construits avec l'aide de l'Etat sont soumis à ce contrôle aussi longtemps qu'ils bénéficient de l'aide (art. 1 al. 3 LGL).</w:t>
      </w:r>
    </w:p>
    <w:p>
      <w:r>
        <w:t>Dans l'arrêté de base fixant le montant de l'aide étatique, le Conseil d'État détermine l'état locatif initial autorisé en fonction des plans financiers qui lui sont soumis, cette compétence pouvant être déléguée à un département (art. 27 LGL).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sans préjudice des besoins d'alimentation des réserves pour l'entretien (art. 42 al. 1 LGL). Le service compétent peut diminuer l'état locatif agréé, en cas de réduction des charges d'exploitation, du taux des intérêts des dettes hypothécaires, ou d'un rendement des fonds propres supérieur à celui fixé par le Conseil d'Etat (art. 42 al. 5 LGL).</w:t>
      </w:r>
    </w:p>
    <w:p>
      <w:r>
        <w:rPr>
          <w:b/>
        </w:rPr>
        <w:t>E. 2.4</w:t>
      </w:r>
    </w:p>
    <w:p>
      <w:r>
        <w:t>Dans le cas d'espèce, la Cour de justice a exposé qu'il ressort de la pratique de l'autorité administrative concernant l'établissement de l'état locatif que les budgets pour les charges d'exploitation doivent permettre de couvrir les charges courantes et de constituer des réserves pour l'entretien de l'ordre de 1'000 fr. par pièce à mi-terme de la période légale et que ces budgets doivent également faire en sorte que, pour un immeuble normalement entretenu, la réserve tende vers zéro à la fin de la période de contrôle. La Cour de justice a rappelé qu'elle avait déjà constaté la conformité à la loi de cette pratique, qui repose sur le fait que la constitution d'une provision pour travaux d'entretien et de réparation, même autorisée par l'arrêté de base, ne doit pas permettre au propriétaire d'obtenir par des voies détournées, à la fin du contrôle officiel, un rendement des fonds propres excédant celui autorisé (cf. arrêt entrepris consid. 10). Par ailleurs, l'instance précédente a retenu que le budget des charges d'exploitation fixé à 101'000 fr. était fondé sur la moyenne des dépenses d'entretien effectuées les trois années précédant le prononcé de l'arrêté litigieux (2013 à 2015) et la recourante n'avait pas démontré l'insuffisance d'un tel budget pour les prochaines années. Elle relevait également que la recourante disposait, à fin 2015, d'une réserve pour entretien de 167'484 fr., correspondant à un montant 1'469 fr. pour chacune des cent-quatorze pièces théoriques; il n'était donc pas nécessaire de tenir compte d'un besoin de constituer une réserve, la réserve déjà créée étant au contraire vouée à être réduite, afin de parvenir à l'objectif de réserve nulle à la fin de la période de contrôle. Au vu des dépenses d'entretien des années précédentes et de la réserve accumulée, l'autorité intimée n'avait pas abusé de son large pouvoir d'appréciation en fixant le budget des charges à 101'000 fr. et, par conséquent, en réduisant l'état locatif de 16'464 fr. à compter du 1</w:t>
      </w:r>
    </w:p>
    <w:p>
      <w:r>
        <w:t>er janvier 2017.</w:t>
      </w:r>
    </w:p>
    <w:p>
      <w:r>
        <w:rPr>
          <w:b/>
        </w:rPr>
        <w:t>E. 2.5</w:t>
      </w:r>
    </w:p>
    <w:p>
      <w:r>
        <w:t>La recourante conteste la réduction du budget des charges de 117'484 à 101'000 fr. et la réduction de l'état locatif de 16'464 fr. qui en découle, fondées sur la pratique développée par l'autorité administrative exigeant que la réserve pour travaux d'entretien soit de l'ordre de 1'000 fr./pièce à mi-terme de la période de contrôle, respectivement tende vers zéro à la fin de cette période; cette pratique serait contraire au droit cantonal qui permettrait la constitution de réserves pour travaux d'entretien ainsi qu'au principe de la proportionnalité, car elle limiterait de façon excessive la constitution de réserves pour faire face au vieillissement de l'immeuble, y compris après la fin du contrôle de l'État. La recourante ajoute qu'elle doit conserver une réserve d'entretien raisonnable pour faire face à ses obligations à la sortie de cette période de contrôle.</w:t>
      </w:r>
    </w:p>
    <w:p>
      <w:r>
        <w:rPr>
          <w:b/>
        </w:rPr>
        <w:t>E. 2.6</w:t>
      </w:r>
    </w:p>
    <w:p>
      <w:r>
        <w:t>Comme évoqué par la recourante, il ressort de l'art. 42 al. 1 LGL que l'état locatif agréé de l'immeuble tient compte de l'existence d'une réserve pour l'entretien. Cette notion n'est toutefois pas définie par la législation générale sur le logement et la protection des locataires. Pour les instances précédentes, une telle réserve est destinée à financer des travaux liés à l'usure et au vieillissement dans les années qui précèdent la sortie du régime de contrôle, puisque les dépenses effectives sont en principe inférieures aux dépenses budgétées durant les premières années suivant la construction de l'immeuble; elle n'est en revanche pas vouée à financer des travaux postérieurement à la période de contrôle et doit donc être absorbée à la fin de celle-ci. Selon les instances précédentes, cette réserve ne doit en effet pas permettre au propriétaire d'obtenir par des voies détournées, à la fin du contrôle officiel, un rendement des fonds propres excédant celui autorisé (cf. art. 42 al. 5 LGL; cf. RICHARD BARBEY, Le contrôle officiel des loyers à Genève in RDAF 1981 p. 208 ss, spéc. p. 216 s.). La recourante ne démontre pas que la pratique de l'administration cantonale - qui limite la constitution de réserves pour travaux d'entretien durant la période de contrôle - serait arbitraire. Elle n'apparaît en effet pas incompatible avec le texte de l'art. 42 al. 1 et 5 LGL, étant en particulier rappelé que cette loi a pour objectif de garantir des loyers aussi bas que possible (cf. art. 1 LGL; cf. arrêt 1P.664/1999 du 1er septembre 2000 consid. 11b in RDAF 2002 I 25).</w:t>
      </w:r>
    </w:p>
    <w:p>
      <w:r>
        <w:t>La mesure litigieuse, fondée sur la pratique administrative contestée, n'apparaît pas non plus disproportionnée. Elle est en effet limitée à la durée de la période de contrôle et elle est justifiée par un intérêt public évident tendant à garantir des loyers aussi bas que possible (cf. arr êt 1P.664/1999 du 1er septembre 2000 consid. 11b in RDAF 2002 I 25). Le contrôle sur le prix des loyers apparaît en outre comme la contrepartie de l'aide financière de l'Etat accordée à la société recourante. Par ailleurs, comme relevé par l'instance précédente, la recourante conserve la possibilité de formuler une demande de modification de l'état locatif auprès de l'OCLPF, conformément à l'art. 42 LGL, si les charges d'entretien devait évoluer. L'intéressée ne prétend pas qu'elle ne serait pas en mesure d'entretenir correctement son immeuble durant la période de contrôle; elle dispose à cet égard au 31 décembre 2015 d'une réserve d'entretien confortable d'un montant de 167'484 fr. vouée à diminuer et elle pourra enfin dès la fin de cette période constituer à nouveau une telle réserve.</w:t>
      </w:r>
    </w:p>
    <w:p>
      <w:r>
        <w:rPr>
          <w:b/>
        </w:rPr>
        <w:t>E. 3</w:t>
      </w:r>
    </w:p>
    <w:p>
      <w:r>
        <w:t>Il résulte des considérants qui précèdent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