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1C_36/2021 vom 3. Juni 2021</w:t>
      </w:r>
    </w:p>
    <w:p>
      <w:r>
        <w:t>Bundesgericht, 2021-06-03, FR</w:t>
      </w:r>
    </w:p>
    <w:p>
      <w:r>
        <w:rPr>
          <w:b/>
        </w:rPr>
        <w:t xml:space="preserve">Quelle: </w:t>
      </w:r>
      <w:r>
        <w:t>https://mcp.opencaselaw.ch/entscheid/bger_1C_36_2021</w:t>
      </w:r>
    </w:p>
    <w:p>
      <w:r>
        <w:t>FR: TF 1C_36/2021 du 3 juin 2021</w:t>
      </w:r>
    </w:p>
    <w:p>
      <w:r>
        <w:t>IT: TF 1C_36/2021 del 3 giugno 2021</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w:t>
      </w:r>
    </w:p>
    <w:p>
      <w:r>
        <w:rPr>
          <w:b/>
        </w:rPr>
        <w:t>E. 1.2</w:t>
      </w:r>
    </w:p>
    <w:p>
      <w:r>
        <w:t>Le Grand Conseil fonde sa qualité pour recourir sur l' art. 89 al. 1 LTF .</w:t>
      </w:r>
    </w:p>
    <w:p>
      <w:r>
        <w:rPr>
          <w:b/>
        </w:rPr>
        <w:t>E. 1.2.1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w:t>
      </w:r>
    </w:p>
    <w:p>
      <w:r>
        <w:t>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w:t>
      </w:r>
    </w:p>
    <w:p>
      <w:r>
        <w:t>in ihren hoheitlichen Befugnissen berührt ") et dispose d'un intérêt public propre digne de protection à l'annulation ou à la modification de l'acte attaqué (cf. ATF 141 II 161 consid. 2.1; 140 I 90 consid. 1.2.2 et les références citées).</w:t>
      </w:r>
    </w:p>
    <w:p>
      <w:r>
        <w:t>Lorsqu'il est porté atteinte à ses intérêts spécifiques, la collectivité publique peut ainsi se voir reconnaître la qualité pour recourir, pour autant qu'elle soit touchée de manière qualifiée. En d'autres termes, la collectivité doit être fortement touchée dans des intérêts publics importants (cf. ATF 141 II 161 consid. 2.3; 140 I 90 consid. 1.2.2 et 1.2.4; arrêt 1C_180/2018 du 10 octobre 2018 consid. 1.2.1 in SJ 2019 I 166). Tel est le cas lorsque l'acte attaqué concerne des intérêts publics essentiels dans un domaine qui relève de sa compétence propre ( ATF 137 IV 269 consid. 1.4). Un intérêt général à une correcte application du droit n'est cependant pas suffisant au regard de l' art. 89 al. 1 LTF ( ATF 140 I 90 consid. 1.2.2; 135 II 156 consid. 3.1; 134 II 45 consid. 2.2.1). Par ailleurs, le Parlement a biffé la proposition du Conseil fédéral qui tendait à habiliter les gouvernements cantonaux, dans certains cas, à attaquer les arrêts de leurs propres tribunaux cantonaux (FF 2001 4281, 4303, ad art. 84 let . d projet LTF; BO-CE 2003 p. 909; BO-CN 2004 p. 1607; ATF 141 II 161 consid. 2.2 et 2.4 et les arrêts cités; MICHAËL PFLÜGER, Die Legitimation des Gemeinwesens zur Beschwerde in öffentlich-rechtlichen Angelegenheiten, 2013, pp. 203 ss); le législateur ne voulait pas que les litiges entre autorités exécutives et judiciaires suprêmes des cantons soient tranchés par le Tribunal fédéral (PFLÜGER, op. cit., p. 205). En Suisse, la règle est donc celle de l'interdiction des procédures intra-organiques, à savoir l'interdiction, pour une autorité d'une collectivité, d'agir devant le Tribunal fédéral contre la décision d'une autre autorité de la même collectivité (MOOR/POLTIER, Droit administratif, Les actes administratifs et leur contrôle, vol. II, 3ème éd., 2011, p. 756; STÉPHANE GRODECKI, Contrôle abstrait et qualité pour recourir d'un canton devant le Tribunal fédéral, in PJA 2018 p. 181 p. 184).</w:t>
      </w:r>
    </w:p>
    <w:p>
      <w:r>
        <w:t>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1C_180/2018 du 10 octobre 2018 consid. 1.2.1 in SJ 2019 I 166).</w:t>
      </w:r>
    </w:p>
    <w:p>
      <w:r>
        <w:rPr>
          <w:b/>
        </w:rPr>
        <w:t>E. 1.3</w:t>
      </w:r>
    </w:p>
    <w:p>
      <w:r>
        <w:t>En l'occurrence, la Cour des conflits de compétence a tranché la question de la compétence de l'autorité appelée à statuer sur une demande de récusation du Préposé cantonal. Elle s'est fondée sur l'art. 10 al. 3 LPJA appliqué en lien avec l'art. 10 al. 2 de la loi fédérale du 20 décembre 1968 sur la procédure administrative (PA; RS 172.021). Elle a désigné le Grand Conseil en sa qualité d'autorité de haute surveillance de l'application de la législation sur le principe de transparence et sur la protection des données en vertu de l' art. 35 al. 1 3 ème phrase LIPDA. Elle a ainsi opéré une interprétation du droit cantonal pour trancher un conflit de compétence.</w:t>
      </w:r>
    </w:p>
    <w:p>
      <w:r>
        <w:t>Dans ce contexte, on peine à voir en quoi l'attribution de la compétence pour trancher une demande de récusation du Préposé au Grand Conseil toucherait le parlement du canton du Valais comme n'importe quel particulier, ni qu'elle atteindrait celui-ci de manière importante dans ses prérogatives de puissance publique. Le Grand Conseil - dont le Président est membre de la Cour des conflits de compétence ayant rendu la décision attaquée - n'est en effet nullement atteint de manière qualifiée par la décision attaquée dans sa situation juridique ou matérielle.</w:t>
      </w:r>
    </w:p>
    <w:p>
      <w:r>
        <w:t>Dans son recours, le Grand Conseil se borne à affirmer que la question de savoir si une demande de récusation contre le Préposé doit être tranchée par une instance de recours ordinaire (Tribunal cantonal ou Conseil d'Etat) ou par une autorité politique comme le Grand Conseil revêt un caractère de principe; pour lui, il existerait un intérêt public légitime à ce que cette question soit tranchée par le Tribunal fédéral. Il ajoute que lorsque le Préposé est en même temps avocat, les demandes de récusation pourraient devenir plus fréquentes à l'avenir et l'arrêt de la Cour des conflits de compétence pourrait être pionnier pour la pratique future. Il affirme encore se trouver en danger de rendre des décisions qui, de son point de vue, seraient nulles, faute de compétence; il existerait un intérêt public à ce que cette question soit déjà tranchée avant que le Grand Conseil rende une décision, afin d'éviter un recours au Tribunal fédéral attaquant la compétence du Grand Conseil pour rendre la décision.</w:t>
      </w:r>
    </w:p>
    <w:p>
      <w:r>
        <w:t>Ce faisant, le recourant demande au Tribunal fédéral de trancher un conflit interne quant à la juste application de normes cantonales. Or, comme exposé ci-avant, le simple intérêt à la juste application du droit ne confère pas au canton la qualité pour recourir au sens de l' art. 89 al. 1 LTF . Le Grand Conseil valaisan ne démontre pas que l'interprétation du droit cantonal préconisée par la Cour des conflits de compétence empêcherait le canton du Valais de traiter une demande de récusation du Préposé et de satisfaire aux exigences légales fédérales et cantonales dans ce domaine. Il se contente de faire état de ce qu'une telle procédure est étrangère au travail d'un parlement (au contraire du travail d'un tribunal cantonal ou du Conseil d'Etat) : le traitement d'une demande de récusation ne correspondrait à aucune forme juridique pouvant être soumise au vote du Grand Conseil, notamment en raison de la longue durée entre les sessions parlementaires. Cela ne suffit toutefois pas à reconnaître que le parlement cantonal serait touché de manière qualifiée dans ses prérogatives de puissance publique. Il s'agit en effet d'un conflit intra-organique au sein d'une même collectivité et les conditions dont dépend sa solution par le Tribunal fédéral, ci-dessus énoncées, ne sont pas réalisées.</w:t>
      </w:r>
    </w:p>
    <w:p>
      <w:r>
        <w:rPr>
          <w:b/>
        </w:rPr>
        <w:t>E. 1.4</w:t>
      </w:r>
    </w:p>
    <w:p>
      <w:r>
        <w:t>En définitive, il apparaît que le présent recours ne remplit pas les conditions qui ont été posées par la jurisprudence s'agissant de la qualité pour recourir des cantons au sens de l' art. 89 al. 1 LTF . Il faut encore ajouter que ces conditions doivent être appliquées restrictivement lorsqu'il s'agit de trancher un conflit opposant des autorités politiques cantonales à un tribunal cantonal. Par conséquent le recours doit être déclaré irrecevable, faute de qualité pour recourir.</w:t>
      </w:r>
    </w:p>
    <w:p>
      <w:r>
        <w:rPr>
          <w:b/>
        </w:rPr>
        <w:t>E. 2</w:t>
      </w:r>
    </w:p>
    <w:p>
      <w:r>
        <w:t>Il s'ensuit que le recours déposé par le Grand Conseil valaisan est irrecevable.</w:t>
      </w:r>
    </w:p>
    <w:p>
      <w:r>
        <w:t>Il n'y a pas lieu de percevoir de frais judiciaires, le Grand Conseil ayant agi dans l'exercice de ses attributions officielles sans que son intérêt patrimonial ne soit en cause ( art. 66 al. 1 et 4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