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369/2024 vom 14. Oktober 2024</w:t>
      </w:r>
    </w:p>
    <w:p>
      <w:r>
        <w:t>Bundesgericht, 2024-10-14, DE</w:t>
      </w:r>
    </w:p>
    <w:p>
      <w:r>
        <w:rPr>
          <w:b/>
        </w:rPr>
        <w:t xml:space="preserve">Quelle: </w:t>
      </w:r>
      <w:r>
        <w:t>https://mcp.opencaselaw.ch/entscheid/bger_1C_369_2024</w:t>
      </w:r>
    </w:p>
    <w:p>
      <w:r>
        <w:t>FR: TF 1C 369/2024 du 14 octobre 2024</w:t>
      </w:r>
    </w:p>
    <w:p>
      <w:r>
        <w:t>IT: TF 1C 369/2024 del 14 ottobre 2024</w:t>
      </w:r>
    </w:p>
    <w:p>
      <w:pPr>
        <w:pStyle w:val="Heading2"/>
      </w:pPr>
      <w:r>
        <w:t>Regeste</w:t>
      </w:r>
    </w:p>
    <w:p>
      <w:r>
        <w:t>Stimmrecht; Gemeindeinitiative Hochdorf heizt erneuerbar | Politische Rechte</w:t>
      </w:r>
    </w:p>
    <w:p>
      <w:pPr>
        <w:pStyle w:val="Heading2"/>
      </w:pPr>
      <w:r>
        <w:t>Erwägungen</w:t>
      </w:r>
    </w:p>
    <w:p>
      <w:r>
        <w:rPr>
          <w:b/>
        </w:rPr>
        <w:t>E. 1</w:t>
      </w:r>
    </w:p>
    <w:p>
      <w:r>
        <w:t>Die Beschwerden betreffen die gleiche Volksabstimmung und die gleichen Parteien. Es rechtfertigt sich, die Verfahren 1C_369/2024 und 1C_377/2024 zu vereinigen (vgl. Art. 71 BGG i.V.m. Art. 24 des Bundesgesetzes über den Bundeszivilprozess vom 4. Dezember 1947 [BZP; SR 273] ).</w:t>
      </w:r>
    </w:p>
    <w:p>
      <w:r>
        <w:rPr>
          <w:b/>
        </w:rPr>
        <w:t>E. 2.1</w:t>
      </w:r>
    </w:p>
    <w:p>
      <w:r>
        <w:t>Die Beschwerden richten sich gegen die beiden Urteile des Kantonsgerichts vom 8. bzw. vom 13. Mai 2024 betreffend Handlungen im Vorfeld einer kommunalen Volksabstimmung, welche die diesbezüglichen Entscheide des Regierungsrats bestätigen. Es handelt sich um Beschwerden wegen Verletzung politischer Rechte nach Art. 82 lit. c BGG . Die angefochtenen Urteile sind kantonal letztinstanzlich und entsprechen den Anforderungen von Art. 88 BGG . Der Beschwerdeführer ist unbestrittenermassen in der Gemeinde Hochdorf stimmberechtigt und gemäss Art. 89 Abs. 3 BGG zur Beschwerde legitimiert. Da auch die übrigen Sachurteilsvoraussetzungen erfüllt sind, ist auf die Beschwerde einzutreten.</w:t>
      </w:r>
    </w:p>
    <w:p>
      <w:r>
        <w:rPr>
          <w:b/>
        </w:rPr>
        <w:t>E. 2.2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2.3</w:t>
      </w:r>
    </w:p>
    <w:p>
      <w:r>
        <w:t>Mit freier Kognition prüft das Bundesgericht die Anwendung des kantonalen und kommunalen Rechts, das den Inhalt des Stimm- und Wahlrechts normiert oder mit dem Stimm- und Wahlrecht in engem Zusammenhang steht ( Art. 95 lit. d BGG ). Dazu zählt auch solches, das der Durchsetzung des Stimm- und Wahlrechts dient. Die Anwendung weiterer kantonaler gesetzlicher Vorschriften und die Feststellung des Sachverhalts prüft es lediglich auf Willkür ( BGE 149 I 291 E. 3.1 mit Hinweisen; Urteile 1C_266/2023 vom 4. Juli 2024 E. 6.2; und 1C_223/2023 vom 22. Mai 2024 E. 3.4; beide mit Hinweis und zur Publikation vorgesehen).</w:t>
      </w:r>
    </w:p>
    <w:p>
      <w:r>
        <w:rPr>
          <w:b/>
        </w:rPr>
        <w:t>E. 2.4</w:t>
      </w:r>
    </w:p>
    <w:p>
      <w:r>
        <w:t>Hinsichtlich der Verletzung von Grundrechten gilt eine qualifizierte Rügepflicht. Das Bundesgericht prüft solche Rügen nur, wenn sie in der Beschwerde präzise vorgebracht und begründet worden sind (vgl. Art. 106 Abs. 2 BGG ).</w:t>
      </w:r>
    </w:p>
    <w:p>
      <w:r>
        <w:rPr>
          <w:b/>
        </w:rPr>
        <w:t>E. 2.5</w:t>
      </w:r>
    </w:p>
    <w:p>
      <w:r>
        <w:t>Zulässig sind auch die Anträge auf die (förmliche) Feststellung einer Verletzung politischer Rechte, zumal das Bundesgericht im Rahmen von Art. 107 Abs. 2 BGG unter bestimmten Umständen eine Verletzung der politischen Rechte förmlich feststellen kann, ohne den betreffenden Urnengang aufzuheben (Urteile 1C_247/2018 und 1C_248/2018 vom 12. März 2019 E. 2.3, publ. in: ZBl 121/2020 223; vgl. 1C_216/2018 vom 10. Dezember 2018 E. 1 mit Hinweis, nicht publ. in: BGE 145 I 175 ).</w:t>
      </w:r>
    </w:p>
    <w:p>
      <w:r>
        <w:rPr>
          <w:b/>
        </w:rPr>
        <w:t>E. 2.6</w:t>
      </w:r>
    </w:p>
    <w:p>
      <w:r>
        <w:t>Die Beschwerden unterliegen dem Erfordernis des aktuellen praktischen Interesses. Zu prüfen ist, ob der Beschwerdeführer ein aktuelles praktisches Interesse an den Beschwerden hat. Beide Beschwerden richten sich gegen angebliche Unregelmässigkeiten im Vorfeld der fraglichen Volksabstimmung. Nach der Rechtsprechung des Bundesgerichts sind gegen Vorbereitungshandlungen von Abstimmungen gerichtete Beschwerden als gegen die Abstimmung gerichtet zu verstehen, wenn der Urnengang in der Zwischenzeit stattgefunden hat ( BGE 145 I 282 E. 2.2.3). Das Bundesgericht tritt ausnahmsweise trotz fehlendem aktuellem Interesse auf eine Beschwerde ein, wenn sich die mit der Beschwerde aufgeworfenen grundsätzlichen Fragen unter gleichen oder ähnlichen Umständen wieder stellen könnten, ohne dass im Einzelfall rechtzeitig eine höchstrichterliche Prüfung möglich wäre ( BGE 147 I 478 E. 2.2; Verfügung 1C_627/2020 vom 23. März 2021 E. 2; je mit Hinweisen). Diese Voraussetzungen sind nicht erfüllt, falls das Bundesgericht die mit der Beschwerde aufgeworfenen Fragen in einem ähnlich gelagerten Fall jedenfalls dann überprüfen könnte, wenn eine Volksabstimmung nicht im Sinne der Beschwerdeführerschaft ausginge (Verfügung 1C_247/2023 vom 24. Juli 2023 E. 4.3 mit Hinweis).</w:t>
      </w:r>
    </w:p>
    <w:p>
      <w:r>
        <w:rPr>
          <w:b/>
        </w:rPr>
        <w:t>E. 3</w:t>
      </w:r>
    </w:p>
    <w:p>
      <w:r>
        <w:t>Im Verfahren 1C_369/2024 kritisiert der Beschwerdeführer die Abstimmungserläuterungen zur Volksinitiative "Hochdorf heizt erneuerbar". Er macht geltend, eine Aussage darin sei falsch gewesen, und beantragt, dass die angeblich dadurch begangene Verletzung der politischen Rechte festgestellt werde.</w:t>
      </w:r>
    </w:p>
    <w:p>
      <w:r>
        <w:rPr>
          <w:b/>
        </w:rPr>
        <w:t>E. 3.1</w:t>
      </w:r>
    </w:p>
    <w:p>
      <w:r>
        <w:t>Die Vorinstanz war auf diese Beschwerde (vorinstanzliches Verfahren 7H 22 300) nicht eingetreten, da der Beschwerdeführer kein aktuelles und praktisches Interesse an der Klärung dieser Rechtsfrage dargelegt habe und kein solches ersichtlich sei. So gehe aus der Beschwerdeschrift nicht hervor, dass der Beschwerdeführer die inzwischen durchgeführte Volksabstimmung aufheben wolle. Zudem würden die von ihm geltend gemachten Voraussetzungen für die gerichtliche Prüfung der Fragen trotz des Wegfalls eines aktuellen und praktischen Interesses nicht vorliegen, da es um eine konkrete, die spezifische Angelegenheit betreffende Sache gehe bzw. insbesondere um die Frage, ob die konkrete Wortwahl des Gemeinderats in den Abstimmungserläuterungen betreffend eine spezifische Aussage des Kantonsgerichts korrekt war. Daraus lasse sich keine allgemeine Frage formulieren, die sich in ähnlicher Weise wiederholt stellen könne. Entsprechend trat die Vorinstanz mangels aktuellen und praktischen Interesses auf die Beschwerde nicht ein.</w:t>
      </w:r>
    </w:p>
    <w:p>
      <w:r>
        <w:rPr>
          <w:b/>
        </w:rPr>
        <w:t>E. 3.2</w:t>
      </w:r>
    </w:p>
    <w:p>
      <w:r>
        <w:t>Im Ergebnis ist das nicht zu beanstanden. Grundsätzlich ist es zwar zulässig, die (förmliche) Feststellung einer Verletzung politischer Rechte zu beantragen, zumal das Bundesgericht, wie erwähnt, im Rahmen von Art. 107 Abs. 2 BGG unter bestimmten Umständen eine Verletzung der politischen Rechte förmlich feststellen kann, ohne den betreffenden Urnengang aufzuheben (vgl. oben E. 2.5). Die mit der Beschwerde aufgeworfenen Fragen müssten sich indes unter gleichen Umständen wieder stellen können, wobei an ihrer Beantwortung wegen ihrer grundsätzlichen Bedeutung ein hinreichendes öffentliches Interesse bestehen müsste (Urteil 1C_511/2015 vom 12. Oktober 2016 E. 1.3, nicht publ. in: BGE 143 I 92 ); es müsste sich mithin um klare Unregelmässigkeiten handeln und dem Urteil Appellcharakter zukommen (STEINMANN/MATTLE, in: Basler Kommentar, Bundesgerichtsgesetz, 3. Aufl. 2018, N. 99 zu Art. 82). Weder legt der Beschwerdeführer dar noch ist ersichtlich, dass diese Voraussetzungen vorliegend erfüllt sind. So reicht es namentlich nicht aus, dass mit der Klärung der konkreten Frage abstrakt Antworten zur als wichtig erachteten Fragestellung generiert werden könnten, inwiefern Gemeinden bei Initiativen, die sie politisch nicht unterstützen, die Sachlichkeit wahren müssen und nicht übergeordnete Instanzen falsch zitieren dürfen, wie der Beschwerdeführer geltend macht. Zu Recht hat die Vorinstanz darauf hingewiesen, dass vorliegend eine bestimmte, den konkreten Fall betreffende und kaum verallgemeinerungsfähige Frage einer Formulierung in den Abstimmungserläuterungen zu beurteilen ist. Ohnehin hat das Bundesgericht in seiner Rechtsprechung bereits ausführlich dazu Stellung genommen, welchen Grundsätzen die Abstimmungserläuterungen zu genügen haben (anstelle vieler BGE 146 I 129 E. 5.1, 5.3 und 5.4 ; 145 I 282 E. 5.1; vgl. LORENZ LANGER, Behördliche Stellungnahmen und der Schutz der freien Willensbildung, ZBl 121/2020, S. 179 ff.; STEINMANN/BESSON, in: St. Galler Kommentar, Bundesverfassung, 4. Aufl. 2023, N. 29 zu Art. 34 BV ). Das öffentliche Interesse an der (ausschliesslichen) Feststellung der angeblichen Verletzung der politischen Rechte ist vor diesem Hintergrund nicht gegeben und die Vorinstanz zu Recht nicht auf die Beschwerde 7H 22 300 eingetreten.</w:t>
      </w:r>
    </w:p>
    <w:p>
      <w:r>
        <w:rPr>
          <w:b/>
        </w:rPr>
        <w:t>E. 4.1</w:t>
      </w:r>
    </w:p>
    <w:p>
      <w:r>
        <w:t>Im Verfahren 1C_377/2024 bringt der Beschwerdeführer vor, es habe sowohl Unregelmässigkeiten bei der Vorbereitung der Abstimmung über die Volksinitiative "Hochdorf heizt erneuerbar" als auch bei der Behandlung des Volksbegehrens im Sinne des Stimmrechtsgesetzes des Kantons Luzern (§ 160 sowie § 162 Abs. 1 lit. e des kantonalen Stimmrechtsgesetzes vom 25. Oktober 1988 [StRG/LU; SRL Nr. 10]) gegeben. Art. 34 Abs. 2 BV sei verletzt worden. Er erblickt eine solche Verletzung darin, dass die Gemeinde ihn am 1. September 2023 darüber informierte, die Umsetzung der fraglichen Volksinitiative erfordere ein nachgelagertes Ortsplanungsverfahren, was der Beschwerdeführer bestreitet. Mit dieser Rechtsauffassung habe der Gemeinderat einen wichtigen Vorteil der Initiative gegenüber dem Gegenvorschlag infrage gestellt und die Chancen der Volksinitiative gegenüber dem Gegenvorschlag verringert.</w:t>
      </w:r>
    </w:p>
    <w:p>
      <w:r>
        <w:rPr>
          <w:b/>
        </w:rPr>
        <w:t>E. 4.2</w:t>
      </w:r>
    </w:p>
    <w:p>
      <w:r>
        <w:t>Die Vorinstanz weist dagegen darauf hin, dass die kurz nach dem Informationstreffen zwischen Vertreterinnen und Vertretern der Gemeinde und des Initiativkomitees am 1. September 2023, nämlich am 5. September 2023, eingereichte Beschwerde keine anderen Unregelmässigkeiten bzw. konkreten Handlungen des Gemeinderats als die genannte Äusserung des Gemeinderats im Rahmen der vorgenannten Besprechung vom 1. September 2023 erwähnt. Da diese Äusserung nicht geeignet war, die Stimmberechtigten bzw. das Abstimmungsergebnis zu beeinflussen, handle es sich nicht um eine Unregelmässigkeit im Sinn von § 165 Abs. 2 StRG/LU, weshalb die Beschwerde abzuweisen sei.</w:t>
      </w:r>
    </w:p>
    <w:p>
      <w:r>
        <w:rPr>
          <w:b/>
        </w:rPr>
        <w:t>E. 4.3</w:t>
      </w:r>
    </w:p>
    <w:p>
      <w:r>
        <w:t>Diese Ausführungen sind nicht zu beanstanden. Dass die mündliche Mitteilung des Gemeinderats vom 1. September 2023, die Umsetzung des fraglichen Volksbegehrens erfordere seiner Ansicht nach eine Teilrevision des kommunalen Bau- und Zonenreglements, nicht geeignet ist, das Abstimmungsergebnis zu beeinflussen, liegt auf der Hand - war sie doch einzig an das Initiativkomitee gerichtet. Die Vorbringen des Beschwerdeführers zielen in erster Linie ohnehin auf Informationen der Behörden, die im Anschluss an diese Besprechung vom 1. September 2023 veröffentlicht worden sind bzw. sein sollen. Der Beschwerdeführer kann sich indes nicht auf Sachverhalte berufen, die sich erst nach seiner Beschwerdeeinreichung ergeben haben. Sollte die behördliche Kommunikation im Vorfeld der Volksabstimmung und im Anschluss an die Beschwerdeeinreichung nicht den Vorgaben der politischen Rechte ( Art. 34 BV ) entsprechen, hätte der Beschwerdeführer die einzelnen Akte als Unregelmässigkeiten substanziiert anfechten müssen. Entgegen seiner Ansicht, kann er sie nicht erst vor Bundesgericht einbringen (vgl. Art. 99 Abs. 1 BGG ). Soweit er bereits vor den Vorinstanzen weitere Aussagen des Gemeinderats ausserhalb der Besprechung am 1. September 2023 anspricht, namentlich wenn er vorbringt, der Gemeinderat habe mit der Kommunikation über die Umsetzung der Initiative falsch informiert, bleiben diese unsubstanziiert. Die diesbezüglichen Einwendungen des Beschwerdeführers gehen daher ins Leere. Das Gleiche gilt in Bezug auf die Rüge der Verletzung von Art. 29 Abs. 2 BV . Die Vorinstanz hatte nach dem Gesagten nicht zu prüfen, ob die rechtliche Einschätzung der Gemeinde zutraf, zur Umsetzung der Initiative sei ein Ortsplanungsverfahren notwendig. Die angeblich ungenügende Begründung der diesbezüglichen, nicht entscheidwesentlichen Ausführungen der Vorinstanz verletzt Art. 29 Abs. 2 BV nicht.</w:t>
      </w:r>
    </w:p>
    <w:p>
      <w:r>
        <w:rPr>
          <w:b/>
        </w:rPr>
        <w:t>E. 5</w:t>
      </w:r>
    </w:p>
    <w:p>
      <w:r>
        <w:t>Aus diesen Erwägungen sind die Beschwerden abzuweisen, soweit darauf einzutreten ist. Bei diesem Ausgang des Verfahrens sind die Gerichtskosten dem Beschwerdeführer aufzuerlegen ( Art. 66 Abs. 1 BGG ). Der in ihrem amtlichen Wirkungskreis obsiegenden Gemeinde Hochdorf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