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369/2022 vom 7. November 2022</w:t>
      </w:r>
    </w:p>
    <w:p>
      <w:r>
        <w:t>Bundesgericht, 2022-11-07, DE</w:t>
      </w:r>
    </w:p>
    <w:p>
      <w:r>
        <w:rPr>
          <w:b/>
        </w:rPr>
        <w:t xml:space="preserve">Quelle: </w:t>
      </w:r>
      <w:r>
        <w:t>https://mcp.opencaselaw.ch/entscheid/bger_1C_369_2022</w:t>
      </w:r>
    </w:p>
    <w:p>
      <w:r>
        <w:t>FR: TF 1C 369/2022 du 7 novembre 2022</w:t>
      </w:r>
    </w:p>
    <w:p>
      <w:r>
        <w:t>IT: TF 1C 369/2022 del 7 novembre 2022</w:t>
      </w:r>
    </w:p>
    <w:p>
      <w:pPr>
        <w:pStyle w:val="Heading2"/>
      </w:pPr>
      <w:r>
        <w:t>Regeste</w:t>
      </w:r>
    </w:p>
    <w:p>
      <w:r>
        <w:t>nachträgliche Baubewilligung für Hundezucht | Raumplanung und öffentliches Baurecht</w:t>
      </w:r>
    </w:p>
    <w:p>
      <w:pPr>
        <w:pStyle w:val="Heading2"/>
      </w:pPr>
      <w:r>
        <w:t>Erwägungen</w:t>
      </w:r>
    </w:p>
    <w:p>
      <w:r>
        <w:rPr>
          <w:b/>
        </w:rPr>
        <w:t>E. 1.1</w:t>
      </w:r>
    </w:p>
    <w:p>
      <w:r>
        <w:t>Angefochten ist ein kantonal letztinstanzlicher Entscheid, mit dem das Verwaltungsgericht die Beschwerde gegen die Verpflichtung des Beschwerdeführers, eine nachträgliche Baubewilligung einzureichen oder den rechtmässigen Zustand wiederherzustellen, abgewiesen hat; dagegen ist die Beschwerde in öffentlich-rechtlichen Angelegenheiten zulässig ( Art. 82 ff. BGG ). Er schliesst das Baubewilligungsverfahren indessen nicht ab; es handelt sich mithin um einen Zwischenentscheid, gegen den die Beschwerde nur dann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Nach Art. 42 Abs. 2 BGG haben die Beschwerdeführenden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1.2</w:t>
      </w:r>
    </w:p>
    <w:p>
      <w:r>
        <w:t>Die Beschwerdeführenden beschränken sich in diesem Zusammenhang auf die Behauptung, beim angefochtenen Urteil handle es sich um einen letztinstanzlichen Endentscheid. Das trifft nicht zu. Bei der Verpflichtung, ein Baugesuch einzureichen, handelt sich um einen Zwischenentscheid, der nach der Praxis des Bundesgerichts in der Regel keinen nicht wiedergutzumachenden Nachteil bewirken kann und damit nicht anfechtbar ist (Urteil 1C_112/2020 vom 10. Juni 2020). Dass im vorliegenden Fall die Voraussetzungen von Art. 93 Abs. 1 BGG ausnahmsweise erfüllt sein könnten, ist damit weder dargetan noch ersichtlich.</w:t>
      </w:r>
    </w:p>
    <w:p>
      <w:r>
        <w:rPr>
          <w:b/>
        </w:rPr>
        <w:t>E. 2</w:t>
      </w:r>
    </w:p>
    <w:p>
      <w:r>
        <w:t>Auf die Beschwerde ist im vereinfachten Verfahren nicht einzutreten. Entsprechend dem Ausgang des Verfahrens werden die Beschwerdeführer kostenpflichtig ( Art. 66 Abs. 1 BGG ). Der Stadt Wädenswil ist hingegen praxisgemäss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