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1C_368/2022 vom 7. Juli 2023</w:t>
      </w:r>
    </w:p>
    <w:p>
      <w:r>
        <w:t>Bundesgericht, 2023-07-07, FR</w:t>
      </w:r>
    </w:p>
    <w:p>
      <w:r>
        <w:rPr>
          <w:b/>
        </w:rPr>
        <w:t xml:space="preserve">Quelle: </w:t>
      </w:r>
      <w:r>
        <w:t>https://mcp.opencaselaw.ch/entscheid/bger_1C_368_2022</w:t>
      </w:r>
    </w:p>
    <w:p>
      <w:r>
        <w:t>FR: TF 1C_368/2022 du 7 juillet 2023</w:t>
      </w:r>
    </w:p>
    <w:p>
      <w:r>
        <w:t>IT: TF 1C_368/2022 del 7 luglio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propriétaire d'une parcelle voisine du projet litigieux, est particulièrement touché par l'arrêt attaqué qui confirme l'octroi de l'autorisation de construire litigieuse; il a un intérêt digne de protection à son annulation. Il bénéficie partant de la qualité pour recourir au sens de l' art. 89 al. 1 LTF . Les autres conditions de recevabilité étant au surplus réunies, il convient d'entrer en matière.</w:t>
      </w:r>
    </w:p>
    <w:p>
      <w:r>
        <w:rPr>
          <w:b/>
        </w:rPr>
        <w:t>E. 2</w:t>
      </w:r>
    </w:p>
    <w:p>
      <w:r>
        <w:t>Le recourant se plaint d'arbitraire dans l'application du droit cantonal.</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w:t>
      </w:r>
    </w:p>
    <w:p>
      <w:r>
        <w:t>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t>Si le Tribunal fédéral applique le droit fédéral d'office ( art. 106 al. 1 LTF ), il appartient à la partie recourante de démontrer par une argumentation qui réponde aux exigences de l' art. 106 al. 2 LTF en quoi une norme cantonale a été appliquée arbitrairement. La partie recourante doit ainsi indiquer précisément quelle disposition constitutionnelle ou légale a été violée et démontrer par une argumentation précise en quoi consiste la violation ( ATF 149 III 81 consid. 1.3; 146 IV 114 consid. 2.1).</w:t>
      </w:r>
    </w:p>
    <w:p>
      <w:r>
        <w:rPr>
          <w:b/>
        </w:rPr>
        <w:t>E. 2.2</w:t>
      </w:r>
    </w:p>
    <w:p>
      <w:r>
        <w:t>Le recourant reproche à l'autorité précédente d'avoir fait preuve d'arbitraire en assimilant la rampe d'accès à une construction souterraine ou à une dépendance de peu d'importance (art. 37 LRou/VD), respectivement à un aménagement extérieur (art. 39 LRou/VD). Il estime en effet que ladite rampe constitue une partie intégrante de l'immeuble.</w:t>
      </w:r>
    </w:p>
    <w:p>
      <w:r>
        <w:rPr>
          <w:b/>
        </w:rPr>
        <w:t>E. 2.2.1</w:t>
      </w:r>
    </w:p>
    <w:p>
      <w:r>
        <w:t>Applicable aux constructions souterraines et aux dépendances de peu d'importance, l'art. 37 al. 1 LRou/VD a la teneur suivante: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Il ressort de l'arrêt attaqué et de la jurisprudence citée, sans que cela ne soit contesté par les parties, que l'application de l'art. 37 LRou/VD est subsidiaire à un éventuel plan fixant une limite des constructions spécifique aux constructions souterraines et aux dépendances de peu d'importance, mais qu'un plan fixant la limite des constructions de manière générale n'est pas applicable à ce type d'ouvrages.</w:t>
      </w:r>
    </w:p>
    <w:p>
      <w:r>
        <w:t>L'art. 39 LRou/VD prévoit que des aménagements extérieurs tels que mur, clôture, haie ou plantation de nature à nuire à la sécurité du trafic, notamment par une diminution de la visibilité, ne peuvent être créés sans autorisation sur les fonds riverains de la route et que le règlement d'application fixe les distances et hauteurs à observer. Rappelant sa jurisprudence, la CDAP précise qu'une limite des constructions fixée par la règlementation communale n'est pas applicable aux aménagements extérieurs visés par l'art. 39 LRou/VD.</w:t>
      </w:r>
    </w:p>
    <w:p>
      <w:r>
        <w:t>A cet égard, il ressort de l'arrêt entrepris que la commune de Bex dispose d'un plan partiel d'affectation prévoyant une limite des constructions, établie en 1948, de 6 à 7 mètres par rapport à l'avenue de la Gare, mais pas d'un plan fixant une limite des constructions souterraines.</w:t>
      </w:r>
    </w:p>
    <w:p>
      <w:r>
        <w:rPr>
          <w:b/>
        </w:rPr>
        <w:t>E. 2.2.2</w:t>
      </w:r>
    </w:p>
    <w:p>
      <w:r>
        <w:t>Selon le recourant, aucune des dispositions précitées ne serait applicable à la rampe d'accès.</w:t>
      </w:r>
    </w:p>
    <w:p>
      <w:r>
        <w:t>La CDAP estime qu'il importe peu, pour autoriser sa construction, que la rampe d'accès soit qualifiée de construction souterraine ou de dépendance de peu d'importance selon l'art. 37 LRou/VD, ou d'aménagement extérieur au sens de l'art. 39 LRou/VD. Elle rappelle à la fois sa jurisprudence qualifiant à plusieurs reprises une rampe d'accès d'aménagement extérieur au sens de l'art. 39 LRou/VD et celle assimilant des rampes d'accès allant jusqu'à 30 mètres de long à des dépendances de peu d'importance au sens de l'art. 39 al. 3 du règlement d'application de la loi vaudoise sur l'aménagement du territoire et les constructions (RLATC/VD; BLV 700.11.1). La CDAP considère par conséquent que la rampe d'accès tombe à tout le moins sous le coup de l'art. 37 LRou/VD et que la limite des constructions établie par la commune de Bex ne lui est par conséquent pas applicable. Située à plus de 10 mètres du bord de la chaussée, la rampe respecte largement la distance de 3 mètres prévue par l'art. 37 LRou/VD et il n'a au surplus nullement été allégué, ni ne ressort du dossier, que la sécurité du trafic pourrait être affectée par ladite rampe. Celle-ci peut donc être autorisée même si elle empiète sur la limite des constructions.</w:t>
      </w:r>
    </w:p>
    <w:p>
      <w:r>
        <w:t>Le recourant affirme que cette interprétation ne peut être suivie et que la rampe constitue une partie intégrante de l'immeuble, qui doit respecter la limite des constructions. Qualifier cette rampe, qui mesure près de 25 mètres de long et 5 mètres de large, de dépendance de peu d'importance au sens de l'art. 37 LRou/VD ou d'aménagement extérieur (art. 39 LRou/VD) serait insoutenable. Au surplus, étant entièrement à ciel ouvert, il ne pourrait non plus s'agir d'une construction souterraine (art. 37 LRou/VD). Enfin, le recourant est d'avis que le renvoi à l'art. 39 al. 3 RLATC/VD est sans pertinence, dans la mesure où cet article porte sur la distance aux limites, qui poursuit un but différent des règles relatives aux limites des constructions, les premières visant à préserver un minimum de lumière, d'air et de soleil entre les constructions, alors que les secondes sont instituées pour préserver l'espace nécessaire à la construction et à l'élargissement d'ouvrages publics.</w:t>
      </w:r>
    </w:p>
    <w:p>
      <w:r>
        <w:t>En premier lieu, il n'est pas arbitraire d'interpréter la notion de dépendance de peu d'importance de l'art. 37 LRou/VD de manière similaire à la même notion prévue par l'art. 39 RLATC/VD, les termes utilisés étant identiques. Cela étant, et au vu de la jurisprudence cantonale mentionnée dans l'arrêt et dans les écritures de la Municipalité de Bex, il ne paraît pas insoutenable d'assimiler une rampe d'accès d'environ 25 mètres à une dépendance de peu d'importance au sens de l'art. 37 LRou/VD. La position de la CDAP échappe ainsi à l'arbitraire.</w:t>
      </w:r>
    </w:p>
    <w:p>
      <w:r>
        <w:t>Certes, le recourant affirme que l'appréciation de la CDAP est "insoutenable". Il se contente toutefois de cette qualification, sans démontrer plus précisément (cf. art. 106 al. 2 LTF ) en quoi l'interprétation faite par l'autorité précédente est arbitraire au sens de la définition retenue au considérant 2.1 ci-dessus.</w:t>
      </w:r>
    </w:p>
    <w:p>
      <w:r>
        <w:t>Partant, le grief peut être écarté.</w:t>
      </w:r>
    </w:p>
    <w:p>
      <w:r>
        <w:rPr>
          <w:b/>
        </w:rPr>
        <w:t>E. 2.2.3</w:t>
      </w:r>
    </w:p>
    <w:p>
      <w:r>
        <w:t>Le recourant estime également que la réalisation de la rampe d'accès ferait perdre sa fonction à la limite des constructions, dans la mesure où l'espace occupé par celle-ci ne pourra être utilisé pour un éventuel élargissement de l'avenue de la Gare. Il qualifie ce résultat d'arbitraire.</w:t>
      </w:r>
    </w:p>
    <w:p>
      <w:r>
        <w:t>La seule hypothèse, faite par le recourant, d'un éventuel élargissement futur de l'avenue de la Gare n'est pas suffisante pour qualifier le résultat de l'arrêt cantonal d'insoutenable. La configuration particulière des lieux, comprenant une voie ferrée située entre la route et la limite de propriété des parcelles n° s 38, 39 et 40, ne semble en effet pas permettre un élargissement de l'avenue de la Gare en direction des parcelles concernées. Ce constat ressort également des affirmations de la commune de Bex, qui précise qu'il n'est ni prévu, ni possible - compte tenu de l'existence de la voie ferrée - d'élargir la voie publique dans le secteur visé. Cela étant, il ne se justifie pas de déroger en l'espèce à la jurisprudence cantonale qui permet de faire abstraction, pour des constructions souterraines, des dépendances de peu d'importance ou des aménagements extérieurs, d'un plan fixant une limite des constructions. Au vu de ce qui précède, le résultat auquel parvient la CDAP ne peut être qualifié d'arbitraire.</w:t>
      </w:r>
    </w:p>
    <w:p>
      <w:r>
        <w:rPr>
          <w:b/>
        </w:rPr>
        <w:t>E. 2.3</w:t>
      </w:r>
    </w:p>
    <w:p>
      <w:r>
        <w:t>La CDAP n'a ainsi pas versé dans l'arbitraire en assimilant la rampe d'accès à une construction tombant sous le coup des art. 37 ou 39 LRou/VD et en jugeant par conséquent que la limite des constructions établie en 1948 ne s'y appliquait pas.</w:t>
      </w:r>
    </w:p>
    <w:p>
      <w:r>
        <w:rPr>
          <w:b/>
        </w:rPr>
        <w:t>E. 3</w:t>
      </w:r>
    </w:p>
    <w:p>
      <w:r>
        <w:t>Il résulte de ce qui précède que le recours est rejeté. Les frais sont mis à la charge du recourant qui succombe ( art. 65 et 66 al. 1 LTF ). Il n'est pas alloué de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