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1C_368/2020 vom 21. Dezember 2022</w:t>
      </w:r>
    </w:p>
    <w:p>
      <w:r>
        <w:t>Bundesgericht, 2022-12-21, FR</w:t>
      </w:r>
    </w:p>
    <w:p>
      <w:r>
        <w:rPr>
          <w:b/>
        </w:rPr>
        <w:t xml:space="preserve">Quelle: </w:t>
      </w:r>
      <w:r>
        <w:t>https://mcp.opencaselaw.ch/entscheid/bger_1C_368_2020</w:t>
      </w:r>
    </w:p>
    <w:p>
      <w:r>
        <w:t>FR: TF 1C_368/2020 du 21 décembre 2022</w:t>
      </w:r>
    </w:p>
    <w:p>
      <w:r>
        <w:t>IT: TF 1C_368/2020 del 21 dicembre 2022</w:t>
      </w:r>
    </w:p>
    <w:p>
      <w:pPr>
        <w:pStyle w:val="Heading2"/>
      </w:pPr>
      <w:r>
        <w:t>Erwägungen</w:t>
      </w:r>
    </w:p>
    <w:p>
      <w:r>
        <w:rPr>
          <w:b/>
        </w:rPr>
        <w:t>E. 1</w:t>
      </w:r>
    </w:p>
    <w:p>
      <w:r>
        <w:t>Dirigé contre un arrêt final rendu en dernière instance cantonale dans une cause relevant de l'aménagement du territoire, le recours est en principe recevable comme recours en matière de droit public selon les art. 82 ss LTF et 34 al. 1 LAT (RS 700), aucune des exceptions prévues à l' art. 83 LTF n'étant réalisée.</w:t>
      </w:r>
    </w:p>
    <w:p>
      <w:r>
        <w:t>Helvetia Nostra et Pro Natura font partie des organisations habilitées à recourir en vertu des art. 55 LPE et 12 LPN, conformément au ch. 6 de l'annexe à l'ordonnance du 27 juin 1990 relative à la désignation des organisations habilitées à recourir dans les domaines de la protection de l'environnement ainsi que de la protection de la nature et du paysage (ODO; RS 814.076). A ce titre, elles ont en principe qualité pour agir par la voie du recours en matière de droit public ( art. 89 al. 2 let . d LTF), dès lors que l'exploitation litigieuse est soumise à l'étude d'impact sur l'environnement et qu'elle porte atteinte à un site paysager d'importance nationale. Tel n'est en revanche pas le cas de Pro Natura Vaud, qui ne figure pas dans le ch. 6 de l'annexe à l'ODO.</w:t>
      </w:r>
    </w:p>
    <w:p>
      <w:r>
        <w:t>La cour cantonale a reconnu aux recourants C.________ et A.________, domiciliés à Eclépens, la qualité pour recourir. Le site litigieux étant situé à proximité directe du village, il y a lieu, à l'instar de l'instance précédente, de considérer que ceux-ci sont particulièrement touchés par l'arrêt attaqué et ont un intérêt digne de protection à l'annulation ou la modification de cet acte ( art. 89 al. 1 LTF ). S'agissant des recourants D.________, la cour cantonale a laissé la question de leur qualité pour recourir indécise dès lors qu'ils se seraient contentés de faire valoir avoir formé opposition à la mise à l'enquête publique de juillet 2015. Il peut en être de même devant le Tribunal fédéral, dès lors qu'il y a quoi qu'il en soit lieu d'entrer en matière sur le recours d'autres recourants.</w:t>
      </w:r>
    </w:p>
    <w:p>
      <w:r>
        <w:rPr>
          <w:b/>
        </w:rPr>
        <w:t>E. 2</w:t>
      </w:r>
    </w:p>
    <w:p>
      <w:r>
        <w:t>Dans un premier grief, les recourants se plaignent d'une violation du droit d'être entendus pour plusieurs motifs. Ils se plaignent du fait que la CFNP n'a pas été interpelée par la CDAP. Ils déplorent ensuite l'absence de réquisition de production des rapports concernant les essais de végétalisation des surfaces tests par l'intimée, et des documents permettant de démontrer l'existence et l'importance de la marge cantonale des surfaces d'assolement par l'autorité cantonale. Enfin, ils font grief à la cour cantonale de ne pas avoir ordonné d'une part la production des procès-verbaux de six séances de pilotage et d'autre part une expertise indépendante permettant d'évaluer la fiabilité des contrôles de vitesse de vibrations.</w:t>
      </w:r>
    </w:p>
    <w:p>
      <w:r>
        <w:rPr>
          <w:b/>
        </w:rPr>
        <w:t>E. 2.1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t>L'autorité ne doit pas se prononcer sur tous les moyens des parties; elle peut se limiter aux questions décisives ( ATF 142 II 154 consid. 4.2; 137 II 266 consid. 3.2; 136 I 229 consid. 5.2). La motivation peut pour le reste être implicite et résulter des différents considérants de la décision (cf. arrêts 1C_167/2015 du 18 août 2015 consid. 3; 2C_23/2009 du 25 mai 2009 consid. 3.1,</w:t>
      </w:r>
    </w:p>
    <w:p>
      <w:r>
        <w:t>in RDAF 2009 II p. 434).</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141 IV 369 consid. 6.3; 136 II 489 consid. 2.8).</w:t>
      </w:r>
    </w:p>
    <w:p>
      <w:r>
        <w:rPr>
          <w:b/>
        </w:rPr>
        <w:t>E. 2.2</w:t>
      </w:r>
    </w:p>
    <w:p>
      <w:r>
        <w:t>S'agissant de l'interpellation de la CFNP et des mesures d'instruction requises en lien avec les vibrations des tirs de mines, comme on le verra lors de l'examen des griefs de fond y relatifs, ces mesures n'étaient pas nécessaires.</w:t>
      </w:r>
    </w:p>
    <w:p>
      <w:r>
        <w:t>Les recourants ne motivent ensuite pas les raisons pour lesquelles ils souhaitent prendre connaissance des rapports concernant les essais de végétalisation de surfaces tests. Ils se contentent d'indiquer à cet égard que "cette question revêt une grande importance au vu de la très grande richesse et diversité de la flore et de la végétation soulignée dans la fiche IFP", sans mettre cet aspect en rapport avec un grief de fond. Leur grief de violation du droit d'être entendus est par conséquent insuffisamment motivé. Il en va de même de leur requête de production de documents relatifs aux surfaces d'assolement, les recourants ne faisant valoir aucun grief de fond en lien avec les surfaces d'assolement.</w:t>
      </w:r>
    </w:p>
    <w:p>
      <w:r>
        <w:rPr>
          <w:b/>
        </w:rPr>
        <w:t>E. 3</w:t>
      </w:r>
    </w:p>
    <w:p>
      <w:r>
        <w:t>Les recourants critiquent la pesée des intérêts opérée par la cour cantonale, qu'ils jugent lacunaire et arbitraire. Ils font valoir à ce titre une violation de l' art. 6 al. 2 LPN en lien avec l' art. 7 al. 2 LPN . La cour cantonale aurait documenté de manière "extrêmement chiche et complaisante" l'intérêt équivalent ou supérieur, d'importance nationale, à la production de ciment qui justifierait l'atteinte sévère au site IFP. Il apparaissait évident qu'un comblement de la carrière après son exploitation représentait la meilleure solution pour ménager le site du Mormont, pour autant que l'on n'aboutisse pas finalement à la conclusion qu'il doit en réalité être conservé intact. Or, la cour cantonale s'était contentée à retenir que la CFNP proposait d'étudier l'option du comblement de la carrière.</w:t>
      </w:r>
    </w:p>
    <w:p>
      <w:r>
        <w:rPr>
          <w:b/>
        </w:rPr>
        <w:t>E. 3.1</w:t>
      </w:r>
    </w:p>
    <w:p>
      <w:r>
        <w:t>Conformément à l' art. 5 al. 1 LPN qui donne mandat au Conseil fédéral en ce sens, l'ordonnance du 29 mars 2017 concernant l'inventaire fédéral des paysages, sites et monuments naturels (OIFP; RS 451.11) - qui a remplacé l'OIFP de 1977 - recense les sites et monuments naturels d'importance nationale (IFP). Le Mormont y est référencé sous objet n° 1023.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 pesée des intérêts doit ainsi être accomplie sous l'angle du plus grand ménagement possible de l'objet inventorié (cf. JUD BARBARA, Les inventaires fédéraux au sens de l' art. 5 LPN - Quelle portée pour la Confédération, les cantons et les communes?, Territoire &amp; Environnement 2011, n° 1, p. 6. s et tableau p. 9); il s'agit dans ce cadre d'examiner les différentes variantes envisageables pour ne retenir que celle portant le moins atteinte à l'objet protégé (BOULAZ DAVID, La protection du paysage - Etude de droit fédéral et vaudois, 2017, p. 144; LEIMBACHER JÖRG, Commentaire LPN, 2e éd. 2019, nos 9-10</w:t>
      </w:r>
    </w:p>
    <w:p>
      <w:r>
        <w:t>ad art. 6). Dans un tel cas, si l'objet risque d'être altéré sensiblement, la Commission fédérale pour la protection de la nature et du paysage (CFNP) établit à l'intention de l'autorité de décision une expertise indiquant si l'objet doit être conservé intact ou de quelle manière il doit être ménagé (art. 7 al. 2 et 25 al. 1 LPN).</w:t>
      </w:r>
    </w:p>
    <w:p>
      <w:r>
        <w:t>L'inventaire fédéral doit en outre être pris en considération dans la pesée des intérêts de chaque cas d'espèce - y compris lors de l'accomplissement de tâches purement cantonales et communales -, en tant que manifestation d'un intérêt fédéral. Dans le cadre de leur obligation générale de planifier selon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ATF 135 II 209 consid. 2.1; arrêts 1C_180/2019 du 16 mars 2021 consid. 5.1; 1C_25/2019 du 5 mars 2020 consid. 7.1).</w:t>
      </w:r>
    </w:p>
    <w:p>
      <w:r>
        <w:rPr>
          <w:b/>
        </w:rPr>
        <w:t>E. 3.2</w:t>
      </w:r>
    </w:p>
    <w:p>
      <w:r>
        <w:t>Le choix du Mormont est le résultat du plan directeur cantonal des carrières (PDCar) de 2014 (cf. ci-dessus let. A.a) que les recourants ne remettent pas en question, voire contre lequel ils n'ont soulevé aucun grief. Dans le cadre de ce PDCar, le canton a effectué une pesée globale de tous les intérêts à prendre en compte selon les législations fédérale et cantonale pour déterminer les sites des carrières sur son territoire. Lors de l'analyse multicritère, le canton a, à juste titre, considéré en particulier la qualité des gisements, la situation, l'accessibilité, l'aménagement du territoire, la protection des eaux, les valeurs écologiques et paysagères, le patrimoine (protection du paysage et patrimoine bâti, des monuments et archéologie) et les intérêts à la détente, aux loisirs et au tourisme. Il a conclu, de manière irréprochable, que le gisement du Mormont (pour le calcaire) et celui des Côtes de Vaux (pour la marne), tous deux situés à proximité de la cimenterie d'Eclépens, étaient les seuls sites du canton à retenir pour leur exploitation en l'état actuel. A l'origine de la production du ciment, se trouve un mélange composé d'environ 80 % de calcaire et 15 % de marne.</w:t>
      </w:r>
    </w:p>
    <w:p>
      <w:r>
        <w:t>Dans la mesure où les recourants laissent entendre, sans autre explication, qu'il n'y aurait pas d'intérêt d'importance nationale à la production de ciment, il est constaté que la cour cantonale a renvoyé aux observations des autorités cantonales et qu'elle a en particulier relevé que la consommation annuelle de ciment en Suisse en 2017 était d'environ 4.3 millions de tonnes, soit près de 500 kg par habitant et par an; compte tenu de la croissance démographique, ce besoin pourrait augmenter; la cimenterie d'Eclépens couvrait près de 20 % du besoin national en ciment; sa situation au coeur de son bassin d'approvisionnement constituait un facteur positif de nature à assurer un transport à des nuisances faibles. Vu ces explications, il ne peut être question que la production de ciment n'aurait pas d'importance nationale. Actuellement, tant dans le génie civil que dans le domaine du bâtiment, la plupart des ouvrages solides et durables sont construits en utilisant du béton. Dans celui-ci, le ciment joue le rôle de principal liant du sable et du gravier; il en constitue donc un matériau fondamental. En raison de la forte consommation actuelle de matières premières et de matériaux de construction requis pour répondre aux besoins de la société, assurer l'approvisionnement du pays en ciment et en matières primaires qui lui sont associées relève de l'intérêt public. Selon les scénarios, les besoins en ciment varieront de 4.3 à 5.9 millions de tonnes de ciment par an jusqu'en 2030. Actuellement, il est à peine possible de substituer les matières premières primaires que sont le calcaire et la marne (cf. SWISSTOPO/OFEV, Rapport du Service géologique national : Matières premières nécessaires à la fabrication du ciment - Besoins et état de l'approvisionnement en Suisse, 2020; SWISSTOPO/OFEV/SECO/COMMISSION GÉOTECHNIQUE SUISSE, Rapport au sujet de l'approvisionnement de la Suisse en matière premières minérales non énergétiques, 2020).</w:t>
      </w:r>
    </w:p>
    <w:p>
      <w:r>
        <w:rPr>
          <w:b/>
        </w:rPr>
        <w:t>E. 3.3.1</w:t>
      </w:r>
    </w:p>
    <w:p>
      <w:r>
        <w:t>Dans un premier préavis du 4 décembre 2015, la CFNP avait jugé souhaitable la conservation d'un cordon paysager d'une largeur d'environ 100 m - incluant le cordon boisé existant entre la carrière du Mormont et l'extension de La Birette pour former ainsi un pont partiellement boisé entre les deux côtés nord et sud de la carrière. Le département cantonal s'était exprimé sur les difficultés de mise en oeuvre d'une telle mesure. Suite à cela, la CFNP, à nouveau consultée, a rendu un second préavis, à teneur duquel elle prenait acte de la réponse du département dont elle jugeait les arguments crédibles. Elle prenait acte également de ce que le département s'engageait</w:t>
      </w:r>
    </w:p>
    <w:p>
      <w:r>
        <w:t>"à exiger de la part du requérant:</w:t>
      </w:r>
    </w:p>
    <w:p>
      <w:r>
        <w:t>- de conduire, parallèlement à l'extraction du site, les études encore nécessaires à la recherche d'une solution de comblement la plus à même de compenser l'impact paysager du projet de La Birette, dans le périmètre dudit plan d'extraction. Les études devront prendre en compte l'ensemble des contraintes inhérentes au site;</w:t>
      </w:r>
    </w:p>
    <w:p>
      <w:r>
        <w:t>- de garantir, dans ce cadre, la restauration des valeurs paysagères et naturelles du site, afin de permettre à terme l'intégration du périmètre d'extraction de La Birette dans le périmètre IFP actuel" .</w:t>
      </w:r>
    </w:p>
    <w:p>
      <w:r>
        <w:t>La commission fédérale ajoutait dans son second préavis que le plus important pour limiter l'atteinte sur les objectifs de protection de l'objet IFP était de préserver l'intégrité de la silhouette du Mormont et que le comblement du périmètre jusqu'au point le plus haut actuellement exploité, de manière à reconstituer une ligne de crête nord-sud, représentait finalement la meilleure solution pour répondre aux objectifs de protection. Elle concluait ainsi que l'engagement écrit du département permettait de réduire l'atteinte causée par l'extension de la carrière; le plus grand ménagement possible selon l' art. 6 LPN pourrait être en outre atteint en fonction des modalités et détails du projet de comblement à venir.</w:t>
      </w:r>
    </w:p>
    <w:p>
      <w:r>
        <w:t>Ce préavis tient le principe du comblement pour acquis, la restauration des valeurs paysagères et naturelles du site étant garantie, seules les modalités devant en être précisées en fonction des études permettant de trouver la solution "la plus à même de compenser l'impact paysager".</w:t>
      </w:r>
    </w:p>
    <w:p>
      <w:r>
        <w:rPr>
          <w:b/>
        </w:rPr>
        <w:t>E. 3.3.2</w:t>
      </w:r>
    </w:p>
    <w:p>
      <w:r>
        <w:t>Dans sa décision d'approbation du plan d'extraction, d'octroi de permis d'exploiter et d'adoption d'une modification du PAC n° 308 Le Mormont, le DTE a repris mot pour mot les exigences susmentionnées de garantir les études encore nécessaires à la recherche d'une solution de comblement la plus à même de compenser l'impact paysager du projet et de garantir, dans ce cadre, la restauration des valeurs paysagères et naturelles du site. Le DTE ajoute que "ces études présenteront les avantages et inconvénients du comblement, en particulier par rapport aux mesures de reconstitution prévues dans la présente décision, destinées à être réalisées dans le périmètre de la carrière après extraction".</w:t>
      </w:r>
    </w:p>
    <w:p>
      <w:r>
        <w:t>En cela, la décision contient une contradiction entre l'exigence posée à la requérante F.________ SA de garantir la restauration des valeurs paysagères et naturelles du site et le supposé objectif de ces études de présenter "les avantages et inconvénients du comblement", ce qui laisse entendre que la question du caractère obligatoire du comblement est encore ouverte. A supposer que telle ait été le sens voulu par le département, on constate que l'autorité cantonale s'est écartée du préavis de la CFNP.</w:t>
      </w:r>
    </w:p>
    <w:p>
      <w:r>
        <w:rPr>
          <w:b/>
        </w:rPr>
        <w:t>E. 3.3.3</w:t>
      </w:r>
    </w:p>
    <w:p>
      <w:r>
        <w:t>La cour cantonale n'a pas relevé cette contradiction. Elle a considéré que la CFNP s'était limitée à demander que la solution d'un comblement soit étudiée et à être tenue informée de l'évolution de l'étude. Précisant, dans le cadre de l'examen de la coordination, que la question d'un comblement du site de la Birette faisait l'objet de "réflexions qui se poursuivent", que le projet litigieux ne prévoyait aucun comblement et qu'il avait été conçu sans une telle mesure, la cour cantonale a ainsi considéré que "la question d'un éventuel comblement excède l'objet du présent litige et devra faire l'objet d'une procédure distincte à l'occasion de laquelle une nouvelle pesée des intérêts aura lieu, s'agissant d'autres modalités de remise en état du site". Les premiers juges ont en effet tenu pour seules mesures de remise en état faisant partie intégrante de la décision "celles figurant dans le dossier, en particulier dans le rapport 47 OAT et le RIE [rapport d'impact sur l'environnement]".</w:t>
      </w:r>
    </w:p>
    <w:p>
      <w:r>
        <w:t>Alors que le Département, par la contradiction précitée, s'écartait déjà quelque peu de la teneur du préavis de la CFNP tout en reprenant mot pour mot, dans sa décision, les conditions posées par cette commission, la cour cantonale, alors même qu'elle confirme la décision attaquée dans son dispositif, en a partiellement changé le sens dans les considérants de son arrêt. En effet, comme on vient de le voir, il n'y a, à la lecture du considérant 4 de l'arrêt attaqué, plus d'obligation de garantir la restauration des valeurs paysagères et naturelles du site à la fin de l'exploitation. La seconde condition posée par la CFNP n'a pas été reprise par les premiers juges.</w:t>
      </w:r>
    </w:p>
    <w:p>
      <w:r>
        <w:t>Il en résulte que les premiers juges n'ont pas véritablement pris en considération l'avis de la commission fédérale s'agissant de l'atteinte au paysage et de la protection de cet intérêt. Cette lecture partielle de la décision attaquée omettant purement et simplement une composante importante du préavis de la CFNP ne permettait en effet pas de garantir une pesée adéquate des intérêts en présence. A cela s'ajoute que l'arrêt attaqué, quand bien même il mentionne la situation de l'objet litigieux en bordure d'un périmètre IFP, ne fait pas état des dispositions de la LPN relatives à la protection des objets inscrits à un inventaire fédéral, de sorte qu'il est douteux que cet aspect ait été évalué à sa juste valeur. Il est pourtant manifeste que la décision litigieuse porte sur une tâche fédérale, à tout le moins du fait de l'autorisation de défrichement qu'elle comporte. En outre, il importe peu que le projet ne soit pas situé à l'intérieur du périmètre IFP; quoi qu'en dise l'OFEV, les dispositions de la LPN propres à la conservation de l'objet porté à l'inventaire fédéral restent applicables.</w:t>
      </w:r>
    </w:p>
    <w:p>
      <w:r>
        <w:rPr>
          <w:b/>
        </w:rPr>
        <w:t>E. 3.3.4</w:t>
      </w:r>
    </w:p>
    <w:p>
      <w:r>
        <w:t>La pesée des intérêts en présence doit ainsi être revue en tenant compte de l'avis de la CFNP dans son intégralité, ce qui comprend la recommandation d'exiger de l'intimée la garantie de la restauration des valeurs paysagères et naturelles du site.</w:t>
      </w:r>
    </w:p>
    <w:p>
      <w:r>
        <w:t>Comme l'ont rappelé les premiers juges, le projet litigieux consiste en l'extension d'une carrière déjà exploitée et recensée dans le plan directeur cantonal des carrières. L'arrêt attaqué relève l'importance de l'extraction litigieuse pour la production de ciment par l'intimée, qui couvre 20 % du besoin national. La situation de la cimenterie à proximité immédiate de son bassin d'approvisionnement permet en outre de minimiser l'impact du transport entre le site d'exploitation et le site de production. Tout ces éléments en font un site d'extraction idéal. Les recourants ne remettent pas véritablement en cause l'important intérêt à l'exploitation litigieuse. Par ailleurs, aucune alternative quant à l'approvisionnement en calcaire en de telles quantités n'est alléguée. En particulier, ni les recourants, ni la CFNP ne font valoir que le site de La Fontaine prévu dans le PAC n° 308 comme alternative d'extension constituerait un choix plus judicieux. Il y a ainsi lieu non seulement de reconnaître que l'exploitation litigieuse est d'intérêt national, mais également que cet intérêt national revêt une importance toute particulière en l'occurrence.</w:t>
      </w:r>
    </w:p>
    <w:p>
      <w:r>
        <w:t>Face à cet intérêt, la cour cantonale a souligné qu'il était indéniable que le projet portera une atteinte considérable au paysage. Ainsi qu'on l'a relevé ci-dessus, parmi les objectifs de protection de l'objet IFP entourant le site d'exploitation figure celui de conserver la silhouette du paysage collinéen. Cet intérêt, d'importance nationale également, s'il doit céder le pas à celui de l'exploitation litigieuse pour les motifs précités, ne peut toutefois pas être purement et simplement ignoré.</w:t>
      </w:r>
    </w:p>
    <w:p>
      <w:r>
        <w:t>En effet, conformément à l' art. 6 al. 1 LPN , l'objet mérite spécialement d'être conservé intact ou en tout cas d'être</w:t>
      </w:r>
    </w:p>
    <w:p>
      <w:r>
        <w:t>ménagé le plus possible , y compris au moyen de mesures de reconstitution ou de remplacement adéquates. La CFNP, qui, en application de l'art. 7 al. 2</w:t>
      </w:r>
    </w:p>
    <w:p>
      <w:r>
        <w:t>i.f. LPN, indique si l'objet doit être conservé intact ou de quelle manière il doit être ménagé, a traduit cela en l'occurrence par la préservation de l'intégrité de la silhouette du Mormont. Elle a ainsi précisé voir la meilleure solution pour répondre aux objectifs de protection en un comblement du périmètre de La Birette jusqu'au point le plus haut actuellement exploité, de manière à reconstituer une ligne de crête nord-sud (préavis de la CFNP du 15 mars 2016, p. 2).</w:t>
      </w:r>
    </w:p>
    <w:p>
      <w:r>
        <w:t>En d'autres termes, si la pesée des intérêts en faveur de l'exploitation de la carrière doit être confirmée, il subsiste la nécessité d'imposer des mesures de protections adéquates qui, aux termes mêmes de la loi, permettent de ménager l'objet le plus possible, y compris au moyen de mesures de reconstitution ou de remplacement adéquates. Cette question fait partie intégrante de la pesée des intérêts et ne saurait être ajournée, la réalisation de telles mesures devant être garantie.</w:t>
      </w:r>
    </w:p>
    <w:p>
      <w:r>
        <w:t>Dans l'arrêt et la décision litigieux, les instances précédentes ne font valoir aucun élément qui laisseraient penser qu'un comblement en fin d'exploitation ne serait pas réalisable, que ce soit pour des questions techniques ou de coûts. Autant la DGE avait expliqué de manière détaillée en quoi il n'était pas possible de suivre le premier préavis de la CFNP, autant elle n'a pas discuté le second - fondé sur sa propre proposition - qu'elle a purement et simplement intégré à sa décision. Le seul ajout de ce qu'il faudrait discuter les avantages et inconvénients du comblement ne saurait ainsi valoir justification à la renonciation au principe même du comblement. Aussi, en l'absence d'obstacle majeur au comblement, mesure clairement souhaitée par la commission fédérale, le principe de son exigence doit être reconnu comme posé dans la décision d'approbation du plan d'extraction et d'octroi du permis d'exploiter la carrière.</w:t>
      </w:r>
    </w:p>
    <w:p>
      <w:r>
        <w:t>En revanche, conformément à l'exigence posée à l'intimée par la CFNP et reprise par le département de conduire les études "encore nécessaires à la recherche d'une solution de comblement la plus à même de compenser l'impact paysager du projet", les modalités du comblement seront définies lorsque les informations nécessaires seront disponibles.</w:t>
      </w:r>
    </w:p>
    <w:p>
      <w:r>
        <w:t>Les considérants de l'arrêt attaqué doivent ainsi être précisés en ce sens que le principe du comblement en fin d'exploitation est acquis et constitue une condition faisant partie intégrante de la décision d'octroi du permis d'exploiter, d'adoption du plan d'extraction et de modification du PAC n° 308, seules les modalités de ce comblement devant encore être définies. Sur ce point, le présent recours au Tribunal fédéral s'avère donc bien fondé.</w:t>
      </w:r>
    </w:p>
    <w:p>
      <w:r>
        <w:rPr>
          <w:b/>
        </w:rPr>
        <w:t>E. 3.4</w:t>
      </w:r>
    </w:p>
    <w:p>
      <w:r>
        <w:t>Compte tenu de ce qui précède, le grief de violation du principe de coordination au sens de l' art. 25a LAT allégué par les recourants tombe toutefois à faux. Ceux-ci ne remettent pas en cause le report de l'adoption des modalités du comblement mais se limitent en effet à contester l'absence de caractère contraignant d'un comblement à l'issue de l'exploitation.</w:t>
      </w:r>
    </w:p>
    <w:p>
      <w:r>
        <w:rPr>
          <w:b/>
        </w:rPr>
        <w:t>E. 3.5</w:t>
      </w:r>
    </w:p>
    <w:p>
      <w:r>
        <w:t>Pour les mêmes motifs, le Tribunal fédéral ne retient aucune violation du droit d'être entendus des recourants en raison de l'absence d'interpellation de la CFNP par la cour cantonale. Le préavis de cette commission était clair et, dans la mesure où ce qui précède a été précisé et qu'il est garanti que le préavis fait intégralement partie de la décision, une nouvelle prise de position n'apporterait aucun élément décisif pour le sort de la présente cause. En outre, l'adoption de la Conception "Paysage suisse" 2020 (CPS 2020) le lendemain de la reddition de l'arrêt cantonal ne peut évidemment en aucun cas jouer un rôle dans l'évaluation de la décision de la cour cantonale de ne pas interpeller la CFNP.</w:t>
      </w:r>
    </w:p>
    <w:p>
      <w:r>
        <w:rPr>
          <w:b/>
        </w:rPr>
        <w:t>E. 4</w:t>
      </w:r>
    </w:p>
    <w:p>
      <w:r>
        <w:t>Les recourants font ensuite valoir une violation de l' art. 15 LPE . Ils font valoir que la norme privée de l'Union des professionnels suisses de la route (VSS) à laquelle s'est référée la cour cantonale ne permet pas de garantir le respect de cette disposition. Ils reprochent ainsi à la cour cantonale de ne pas avoir ordonné d'expertise indépendante pour constater la réalité des nuisances et déterminer les mesures nécessaires pour garantir le respect de l' art. 15 LPE , ce en violation de leur droit d'être entendus.</w:t>
      </w:r>
    </w:p>
    <w:p>
      <w:r>
        <w:rPr>
          <w:b/>
        </w:rPr>
        <w:t>E. 4.1</w:t>
      </w:r>
    </w:p>
    <w:p>
      <w:r>
        <w:t>A teneur de l' art. 11 LPE ,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 art. 12 al. 1 LPE prévoit que les émissions sont limitées notamment par l'application des valeurs limites d'émissions (let. a). Les limitations figurent dans des ordonnances ou, pour les cas que celles-ci n'ont pas visés, dans des décisions fondées directement sur la LPE ( art. 12 al. 2 LPE ). Conformément à l' art. 15 LPE , les valeurs limites d'immissions s'appliquant au bruit et aux vibrations sont fixées de manière que, selon l'état de la science et l'expérience, les immissions inférieures à ces valeurs ne gênent pas de manière sensible la population dans son bien-être.</w:t>
      </w:r>
    </w:p>
    <w:p>
      <w:r>
        <w:t>Le Conseil fédéral n'a fixé ni de valeurs limites d'émissions ni de valeurs limites d'immissions pour les vibrations (cf. arrêts 1C_315/2017 du 4 septembre 2018 consid. 4.2; 1C_343/2011 du 15 mars 2012 consid. 6). La norme VSS 40 312 "Ebranlements (</w:t>
      </w:r>
    </w:p>
    <w:p>
      <w:r>
        <w:t>Erschütterungen ) - effets des ébranlements sur les constructions" de mars 2019 régit notamment les ébranlements provoqués par les coups de mines (ch. 1 VSS 40 312). A teneur de cette norme, le respect des valeurs indicatives permet généralement d'éviter des dégâts aux constructions soumises aux ébranlements (ch. 3 VSS 40 312). Cette norme n'est pas applicable à l'effet des vibrations sur l'être humain (ch. 1 VSS 40 312). Pour l'effet des vibrations sur l'être humain, l'OFEV préconise de s'inspirer de la norme allemande DIN 4150-2 "Erschütterungen im Bauwesen - Teil 2: Einwirkungen auf Menschen in Gebäuden" de juin 1999.</w:t>
      </w:r>
    </w:p>
    <w:p>
      <w:r>
        <w:rPr>
          <w:b/>
        </w:rPr>
        <w:t>E. 4.2</w:t>
      </w:r>
    </w:p>
    <w:p>
      <w:r>
        <w:t>C'est ce qu'ont fait les instances précédentes, qui se sont référées aux deux normes précitées. Selon l'arrêt attaqué, alors que la norme VSS 40 312 (anciennement VSS SN 640 312a) préconise une valeur limite de 6 mm/s, l'autorité administrative a exigé que la limite de 3 mm/s soit respectée dans la mesure du possible. Elle a en outre constaté sur la base de différents documents au dossier que cette limite de 3mm/s n'avait que rarement et faiblement été dépassée dans l'exploitation de la carrière actuelle. La cour cantonale a ensuite relevé que les valeurs de la norme DIN 4150-2 seraient aussi respectées. Un suivi des vibrations sur les bâtiments est également prévu. L'OFEV souligne en outre que les valeurs indicatives des normes précitées sont notamment basées sur des valeurs empiriques définies en fonction d'expériences passées, de sorte que, conformément à l' art. 15 LPE , elles tiennent comptent non seulement de l'état de la science, mais également de l'expérience.</w:t>
      </w:r>
    </w:p>
    <w:p>
      <w:r>
        <w:t>Au contraire de l' art. 14 let . c LPE relatif aux pollutions atmosphériques, l' art. 15 LPE ne tend pas à garantir l'intégrité des immeubles contre les vibrations. Le législateur n'ayant pas mis l'accent sur cette divergence (cf. Message du 31 octobre 1979 relatif à une loi fédérale sur la protection de l'environnement, in: FF 1979 III 741 ch. 6 p. 786 s.), il n'apparaît pas a priori que la distinction ait été voulue, de sorte qu'il semblerait judicieux de conférer à l' art. 15 LPE une portée s'étendant à la protection des immeubles. Cette question n'a toutefois pas à être résolue en l'espèce, compte tenu de ce qui suit.</w:t>
      </w:r>
    </w:p>
    <w:p>
      <w:r>
        <w:t>Les recourants se plaignent en substance uniquement des nuisances affectant les bâtiments. Ils évoquent à ce titre "les dégâts visibles constatés dans de nombreuses maisons d'Eclépens" et en déduisent que la norme VSS n'est pas adaptée pour juger de l'importance des vibrations induites par les tirs de mine. Cela étant, outre qu'ils ne donnent aucune précision sur les dégâts qu'ils dénoncent, les recourants n'exposent pas en quoi les éléments du dossier sur lesquels la cour cantonale s'est fondée pour considérer que les tirs de mine seront effectués de manière à assurer la sécurité des personnes et des biens seraient contestables. En particulier, ils n'expliquent pas ce qui devrait faire douter de l'intégrité du rapport d'expertise du 26 mai 2016 relatif à l'effet des vibrations liées aux tirs de mines sur les instabilités naturelles du flanc sud de la colline du Mormont. Cette expertise, effectuée suite à un éboulement survenu en 2015 à l'arrière de la parcelle n° 477 propriété de deux des recourants, concluait au fait que les facteurs liés à la végétation et les facteurs météorologiques étaient, dans le processus de déclenchement des éboulements, prépondérants par rapport aux effets des vibrations générées par les tirs de mines. Aussi, s'il est compréhensible que les recourants s'inquiètent des conséquences des tirs de mines sur la colline du Mormont, ils ne font valoir concrètement aucune faiblesse dans l'expertise qui justifierait de la remettre en cause. L'argumentation des recourants, limitée au fait que l'expertise a été mandatée par l'intimée elle-même, apparaît ainsi purement appellatoire. Au demeurant, le rapport d'expertise précité, certes établi aux frais de l'intimée, a en réalité été commandé par le DTE.</w:t>
      </w:r>
    </w:p>
    <w:p>
      <w:r>
        <w:t>Pour ces mêmes motifs, on ne saurait reprocher à la cour cantonale de ne pas avoir donné suite à la demande d'expertise judiciaire des recourants. Ceux-ci font valoir en vrac que cette expertise devait permettre "d'évaluer la fiabilité des contrôles de vitesse des vibrations, notamment sous l'angle de la qualité des appareils utilisés et de leur calibrage" (recours p. 26), "de constater la réalité des nuisances et des dégâts et de déterminer les mesures nécessaires pour garantir le respect de l' art. 15 LPE ", et d'"expliquer les raisons pour lesquelles des dégâts surviennent alors que les appareils de mesure des vibrations enregistrent des valeurs inférieures aux limites de la norme". Or, ainsi qu'on l'a vu ci-dessus, en l'absence d'ébauches de critiques de fond sur l'expertise au dossier expliquant par des causes tierces les dégâts matériels constatés, rien ne justifiait de poursuivre une instruction couteuse sur ce point.</w:t>
      </w:r>
    </w:p>
    <w:p>
      <w:r>
        <w:t>Enfin, la production des "procès-verbaux de six séances de pilotage", par laquelle les recourants entendaient démontrer la récurrence des plaintes des habitants en lien avec les tirs de mines n'aurait pas été de nature à remettre en cause le respect des normes susmentionnées.</w:t>
      </w:r>
    </w:p>
    <w:p>
      <w:r>
        <w:t>Il s'ensuit que les tirs de mines, en tant qu'ils seront réalisés selon les modalités prévues par les expertises et le rapport d'impact au dossier, respectent le droit fédéral, les valeurs limites des vibrations étant définies conformément à l' art. 15 LAT , tant selon l'état de la science que selon l'état de l'expérience.</w:t>
      </w:r>
    </w:p>
    <w:p>
      <w:r>
        <w:rPr>
          <w:b/>
        </w:rPr>
        <w:t>E. 5</w:t>
      </w:r>
    </w:p>
    <w:p>
      <w:r>
        <w:t>Dans un dernier moyen, les recourants se plaignent d'arbitraire dans l'application du droit cantonal. Ils reprochent à la cour cantonale de ne pas avoir constaté que la récusation de plusieurs membres de la Commission cantonale pour la protection de la nature s'imposait.</w:t>
      </w:r>
    </w:p>
    <w:p>
      <w:r>
        <w:rPr>
          <w:b/>
        </w:rPr>
        <w:t>E. 5.1</w:t>
      </w:r>
    </w:p>
    <w:p>
      <w:r>
        <w:t>A teneur de l'art. 81 al. 1 de la loi vaudoise du 10 décembre 1969 sur la protection de la nature, des monuments et des sites (LPNMS; BLV 450.11), la Commission cantonale pour la protection de la nature donne son préavis, en matière de protection de la nature et des sites, notamment sur des projets de travaux affectant des objets protégés. Elle est composée de onze à treize membres, nommés par le Conseil d'État (art. 79 al. 1 LPNMS). Présidée par le chef du Département de la sécurité et de l'environnement, elle comprend notamment le chef du Service des forêts, de la faune et de la nature, le chef du Service de l'aménagement du territoire, le chef du Service des améliorations foncières, le chef du Service des eaux, sols et assainissement, ainsi que quatre membres au moins d'associations privées poursuivant les buts de la LPNMS (art. 79 al. 2 LPNMS).</w:t>
      </w:r>
    </w:p>
    <w:p>
      <w:r>
        <w:t>L'art. 9 al. 1 let. b de la loi vaudoise du 28 octobre 2008 sur la procédure administrative (LPA-VD; BLV 173,36) prévoit que toute personne appelée à rendre ou à préparer une décision ou un jugement doit se récuser si elle a agi dans la même cause à un autre titre, notamment comme membre d'une autorité, comme conseil d'une partie, comme expert ou comme témoin.</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 Dans ce contexte, le recours est soumis aux exigences accrues de motivation de l' art. 106 al. 2 LTF .</w:t>
      </w:r>
    </w:p>
    <w:p>
      <w:r>
        <w:rPr>
          <w:b/>
        </w:rPr>
        <w:t>E. 5.2</w:t>
      </w:r>
    </w:p>
    <w:p>
      <w:r>
        <w:t>Les recourants considèrent que la législation qui régit la composition de la commission n'est pas adaptée à la mission qui lui serait confiée dans les cas où le membres des autorités désignés comme membres de la commission par la loi sont quasiment tous concernés par la procédure en cours. Ils estiment qu'en pareil cas, les chefs du département ou de services concernés devraient être automatiquement récusés. Ils n'exposent toutefois aucun argument précis à l'appui d'une telle interprétation des dispositions cantonales. En particulier, ils ne discutent pas l'appréciation de la cour cantonale qui a jugé qu'à suivre le grief des recourants, la majorité des membres de la commission ne pourraient pas y siéger pour tout projet nécessitant une décision cantonale, soit une proportion importante de projets, ce qui n'aurait aucun sens. En effet, en l'occurrence, le législateur a choisi de désigner expressément comme membres de la commission des personnes occupant précisément certaines fonctions à la tête de certaines entités administratives. Il apparaît donc comme un choix délibéré du législateur que, dans de nombreux cas de figure, les dirigeants d'entités administratives appelées à préaviser, voire à statuer sur un projet soient impliqués dans la commission - ce au même titre que, dans de nombreux cas de figure, les associations de protection de la nature pouvant agir comme opposantes à un projet voient certains de leurs représentants siéger dans la commission. Les recourants ne démontrent pas que le système choisi dût être à géométrie variable et exclure ces membres lorsque les administrations qu'ils dirigent sont appelées à statuer ou à préaviser une cause.</w:t>
      </w:r>
    </w:p>
    <w:p>
      <w:r>
        <w:t>Une telle lecture du droit cantonal est d'autant plus justifiée que, de manière générale, les dispositions sur la récusation sont moins sévères pour les membres des autorités administratives que pour les autorités judiciaires. La jurisprudence considère en effet que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sinon de vider de son sens la procédure administrative ( ATF 140 I 326 consid. 5.2; 137 II 431 consid. 5.2; arrêt 1C_657/2018 du 18 mars 2021 consid. 4.1, non publié</w:t>
      </w:r>
    </w:p>
    <w:p>
      <w:r>
        <w:t>in 147 II 319, publié</w:t>
      </w:r>
    </w:p>
    <w:p>
      <w:r>
        <w:t>in Pra 2022 n° 13 p. 120).</w:t>
      </w:r>
    </w:p>
    <w:p>
      <w:r>
        <w:t>Le grief est ainsi mal fondé.</w:t>
      </w:r>
    </w:p>
    <w:p>
      <w:r>
        <w:rPr>
          <w:b/>
        </w:rPr>
        <w:t>E. 6</w:t>
      </w:r>
    </w:p>
    <w:p>
      <w:r>
        <w:t>Il résulte de ce qui précède que le recours doit être partiellement admis (cf. consid. 3.3 pour le comblement) et rejeté pour le reste dans la mesure où il est recevable. Il est dès lors renoncé à prélever des frais judiciaires et des dépens réduits sont alloués aux recourants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