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1C_368/2017 vom 20. Juli 2017</w:t>
      </w:r>
    </w:p>
    <w:p>
      <w:r>
        <w:t>Bundesgericht, 2017-07-20, DE</w:t>
      </w:r>
    </w:p>
    <w:p>
      <w:r>
        <w:rPr>
          <w:b/>
        </w:rPr>
        <w:t xml:space="preserve">Quelle: </w:t>
      </w:r>
      <w:r>
        <w:t>https://mcp.opencaselaw.ch/entscheid/bger_1C_368_2017</w:t>
      </w:r>
    </w:p>
    <w:p>
      <w:r>
        <w:t>FR: TF 1C_368/2017 du 20 juillet 2017</w:t>
      </w:r>
    </w:p>
    <w:p>
      <w:r>
        <w:t>IT: TF 1C_368/2017 del 20 luglio 2017</w:t>
      </w:r>
    </w:p>
    <w:p>
      <w:pPr>
        <w:pStyle w:val="Heading2"/>
      </w:pPr>
      <w:r>
        <w:t>Erwägungen</w:t>
      </w:r>
    </w:p>
    <w:p>
      <w:r>
        <w:rPr>
          <w:b/>
        </w:rPr>
        <w:t>E. 1</w:t>
      </w:r>
    </w:p>
    <w:p>
      <w:r>
        <w:t>A.________ erstattete am 20. März 2017 Strafanzeige gegen den Staatsanwalt Markus Imholz wegen "falscher Untersuchung, nicht Anzeigen einer Straftat, Vertuschung und manipulatives Verhalten das zu einer Verurteilung gekommen ist ohne Rechtsgrundlage". Die Staatsanwaltschaft I des Kantons Zürich überwies die Akten mit Verfügung vom 18. April 2017 an die III. Strafkammer des Obergerichts des Kantons Zürich, um über die Erteilung bzw. Nichterteilung der Ermächtigung zur Durchführung einer Strafuntersuchung zu entscheiden. Mit Beschluss vom 7. Juni 2017 erteilte die III. Strafkammer des Obergerichts des Kantons Zürich die Ermächtigung zum Entscheid über die Untersuchungseröffnung bzw. die Nichtanhandnahme des Verfahrens nicht. Zur Begründung führte die Strafkammer zusammenfassend aus, dass in keiner Hinsicht ein hinreichender Anfangsverdacht bezüglich eines strafrechtlich relevanten Verhaltens ersichtlich sei.</w:t>
      </w:r>
    </w:p>
    <w:p>
      <w:r>
        <w:rPr>
          <w:b/>
        </w:rPr>
        <w:t>E. 2</w:t>
      </w:r>
    </w:p>
    <w:p>
      <w:r>
        <w:t>A.________ führt mit Eingabe vom 7. Juli 2017 Beschwerde in öffentlich-rechtlichen Angelegenheiten gegen den Beschluss der III. Strafkammer des Obergerichts des Kantons Zürich. Das Bundesgericht verzichtet auf die Einholung von Vernehmlassungen.</w:t>
      </w:r>
    </w:p>
    <w:p>
      <w:r>
        <w:rPr>
          <w:b/>
        </w:rPr>
        <w:t>E. 3</w:t>
      </w:r>
    </w:p>
    <w:p>
      <w:r>
        <w:t>Der Beschwerdeführer ersucht um eine Erstreckung der Beschwerdefrist, damit er eine Beschwerdeergänzung nachreichen könne. Bei der Beschwerdefrist nach Art. 100 Abs. 1 BGG handelt es sich um eine gesetzliche Frist, die gemäss Art. 47 Abs. 1 BGG nicht erstreckt werden kann. Dem Gesuch kann somit nicht entsprochen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den Ausführungen der III. Strafkammer nicht auseinander und legt somit nicht dar, inwiefern die Begründung der III. Strafkammer, die zur Verweigerung der Ermächtigung führte, bzw. der Beschluss der III. Strafkammer selbst rechts- bzw. verfassungswidrig sein sollte.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