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1C_367/2017 vom 20. Juli 2017</w:t>
      </w:r>
    </w:p>
    <w:p>
      <w:r>
        <w:t>Bundesgericht, 2017-07-20, DE</w:t>
      </w:r>
    </w:p>
    <w:p>
      <w:r>
        <w:rPr>
          <w:b/>
        </w:rPr>
        <w:t xml:space="preserve">Quelle: </w:t>
      </w:r>
      <w:r>
        <w:t>https://mcp.opencaselaw.ch/entscheid/bger_1C_367_2017</w:t>
      </w:r>
    </w:p>
    <w:p>
      <w:r>
        <w:t>FR: TF 1C_367/2017 du 20 juillet 2017</w:t>
      </w:r>
    </w:p>
    <w:p>
      <w:r>
        <w:t>IT: TF 1C_367/2017 del 20 luglio 2017</w:t>
      </w:r>
    </w:p>
    <w:p>
      <w:pPr>
        <w:pStyle w:val="Heading2"/>
      </w:pPr>
      <w:r>
        <w:t>Erwägungen</w:t>
      </w:r>
    </w:p>
    <w:p>
      <w:r>
        <w:rPr>
          <w:b/>
        </w:rPr>
        <w:t>E. 1</w:t>
      </w:r>
    </w:p>
    <w:p>
      <w:r>
        <w:t>A.________ erstattete am 30. März 2017 Strafanzeige gegen Arzt B.________ wegen "Vertragsbruch, fehlende Therapieberichte und nicht Anerkennung der absolvierten Therapiesitzungen". Die Staatsanwaltschaft I des Kantons Zürich überwies die Akten mit Verfügung vom 19. April 2017 an die III. Strafkammer des Obergerichts des Kantons Zürich, um über die Erteilung bzw. Nichterteilung der Ermächtigung zur Durchführung einer Strafuntersuchung zu entscheiden. Mit Beschluss vom 7. Juni 2017 erteilte die III. Strafkammer des Obergerichts des Kantons Zürich die Ermächtigung zum Entscheid über die Untersuchungseröffnung bzw. die Nichtanhandnahme des Verfahrens nicht. Zur Begründung führte die Strafkammer zusammenfassend aus, dass in keiner Hinsicht ein hinreichender Anfangsverdacht bezüglich eines strafrechtlich relevanten Verhaltens ersichtlich sei.</w:t>
      </w:r>
    </w:p>
    <w:p>
      <w:r>
        <w:rPr>
          <w:b/>
        </w:rPr>
        <w:t>E. 2</w:t>
      </w:r>
    </w:p>
    <w:p>
      <w:r>
        <w:t>A.________ führt mit Eingabe vom 7. Juli 2017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III. Strafkammer nicht auseinander und legt somit nicht dar, inwiefern die Begründung der III. Strafkammer, die zur Verweigerung der Ermächtigung führte, bzw. der Beschluss der III. Strafkammer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