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366/2021 vom 29. Juni 2021</w:t>
      </w:r>
    </w:p>
    <w:p>
      <w:r>
        <w:t>Bundesgericht, 2021-06-29, DE</w:t>
      </w:r>
    </w:p>
    <w:p>
      <w:r>
        <w:rPr>
          <w:b/>
        </w:rPr>
        <w:t xml:space="preserve">Quelle: </w:t>
      </w:r>
      <w:r>
        <w:t>https://mcp.opencaselaw.ch/entscheid/bger_1C_366_2021</w:t>
      </w:r>
    </w:p>
    <w:p>
      <w:r>
        <w:t>FR: TF 1C 366/2021 du 29 juin 2021</w:t>
      </w:r>
    </w:p>
    <w:p>
      <w:r>
        <w:t>IT: TF 1C 366/2021 del 29 giugno 2021</w:t>
      </w:r>
    </w:p>
    <w:p>
      <w:pPr>
        <w:pStyle w:val="Heading2"/>
      </w:pPr>
      <w:r>
        <w:t>Regeste</w:t>
      </w:r>
    </w:p>
    <w:p>
      <w:r>
        <w:t>Auslieferung an Deutschland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rPr>
          <w:b/>
        </w:rPr>
        <w:t>E. 1.2</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rPr>
          <w:b/>
        </w:rPr>
        <w:t>E. 1.3</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1.4</w:t>
      </w:r>
    </w:p>
    <w:p>
      <w:r>
        <w:t>Der Beschwerdeführer, vertreten durch seinen deutschen Anwalt, setzt sich mit der Voraussetzung des besonders bedeutenden Falles nicht ausdrücklich auseinander. Es kann dahingestellt bleiben, ob die Beschwerde insofern den Begründungsanforderungen von Art. 42 Abs. 2 BGG genügt (vgl. E. 1.2 hiervor). Wie nachfolgend aufzuzeigen ist, kann auf die Beschwerde ohnehin nicht eingetreten werden (vgl. E. 2 hiernach).</w:t>
      </w:r>
    </w:p>
    <w:p>
      <w:r>
        <w:rPr>
          <w:b/>
        </w:rPr>
        <w:t>E. 2.1</w:t>
      </w:r>
    </w:p>
    <w:p>
      <w:r>
        <w:t>Der Beschwerdeführer macht geltend, sein Gesundheitszustand stehe einer Auslieferung entgegen. Er sei lebensbedrohlich erkrankt und drohe aufgrund seiner Erkrankung im Zuge des Auslieferungsverfahrens zu sterben. Es bestehe die Gefahr, dass er aufgrund der mit der Auslieferung verbundenen Aufregung und der bei ihm bestehenden Klaustrophobie einer Herzattacke erliege oder sich im Zuge der mit der Auslieferung verbundenen Panikattacken suizidiere.</w:t>
      </w:r>
    </w:p>
    <w:p>
      <w:r>
        <w:rPr>
          <w:b/>
        </w:rPr>
        <w:t>E. 2.2</w:t>
      </w:r>
    </w:p>
    <w:p>
      <w:r>
        <w:t>Der Auffassung des Beschwerdeführers, wonach sein Gesundheitszustand ein Auslieferungshindernis bilde, kann indes nicht gefolgt werden. Wie die Vorinstanz zu Recht erwog, sehen die anwendbaren Staatsverträge und das IRSG (SR 351.1) keine Möglichkeit vor, eine Auslieferung aus gesundheitlichen Gründen zu verweigern. Im Gegensatz zu gewissen anderen Staaten, haben weder die Schweiz noch Deutschland einen entsprechenden Vorbehalt zum Europäischen Auslieferungsübereinkommen vom 13. Dezember 1957 (EAUe; SR 0.353.1) angebracht (vgl. ROBERT ZIMMERMANN, La coopération judiciaire internationale en matière pénale, 5. Aufl. 2019, Rz. 699 S. 773). Nach ständiger Rechtsprechung kann daher ein Auslieferungsgesuch nicht wegen des schlechten Gesundheitszustands des Verfolgten abgelehnt werden. Es ist Sache des ersuchenden Staates dafür zu sorgen, dass der Auszuliefernde eine angemessene medizinische Behandlung bekommt und seinem Gesundheitszustand entsprechend untergebracht oder allenfalls, mangels Hafterstehungsfähigkeit, aus der Haft entlassen wird (vgl. Urteile 1C_316/2016 vom 13. Juli 2016 E. 2; 1C_274/2015 vom 12. August 2015 E. 7; 1A.47/2005 vom 12. April 2005 E. 3; 1A.184/2002 vom 5. November 2002 E. 8, nicht publ. in: BGE 129 II 56 ). Dass Deutschland eine angemessene medizinische Behandlung nicht garantieren könnte, macht der Beschwerdeführer nicht geltend und ist auch nicht ersichtlich. Ausserordentlichen Umstände, aufgrund welcher der Gesundheitszustand einer Auslieferung ausnahmsweise entgegenstehen würde (insbes. ein Verstoss gegen Art. 3 EMRK ), sind hier demnach offensichtlich nicht gegeben (vgl. Urteil des EGMR A.S. gegen Schweiz vom 30. Juni 2015, Beschwerde-Nr. 39350/13, §§ 31-34). Der Gesundheitszustand des Beschwerdeführers bildet folglich kein Auslieferungshindernis. Inwiefern aus einem anderen Grund ein besonders bedeutender Fall gegeben wäre, legt der Beschwerdeführer nicht dar und ist auch nicht ersichtlich. Der Angelegenheit kommt keine aussergewöhnliche Tragweite zu. Für das Bundesgericht besteht deshalb kein Anlass, die Sache an die Hand zu nehmen.</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