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1C_365/2019 vom 5. November 2019</w:t>
      </w:r>
    </w:p>
    <w:p>
      <w:r>
        <w:t>Bundesgericht, 2019-11-05, FR</w:t>
      </w:r>
    </w:p>
    <w:p>
      <w:r>
        <w:rPr>
          <w:b/>
        </w:rPr>
        <w:t xml:space="preserve">Quelle: </w:t>
      </w:r>
      <w:r>
        <w:t>https://mcp.opencaselaw.ch/entscheid/bger_1C_365_2019</w:t>
      </w:r>
    </w:p>
    <w:p>
      <w:r>
        <w:t>FR: TF 1C_365/2019 du 5 novembre 2019</w:t>
      </w:r>
    </w:p>
    <w:p>
      <w:r>
        <w:t>IT: TF 1C_365/2019 del 5 novembre 2019</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s'en prendre aux actes préparatoires, au processus de vote ainsi qu'au résultat du vote, et dénoncer par ce moyen toute circonstance propre à fausser la manifestation de la volonté des électeurs (arrêt 1C_610/2017 du 7 mai 2018 consid. 1).</w:t>
      </w:r>
    </w:p>
    <w:p>
      <w:r>
        <w:t>Citoyens actifs de la commune de Peseux, les recourants ont la qualité pour recourir, au sens de l' art. 89 al. 3 LTF . Pour le surplus, interjeté en temps utile contre une décision finale prise en dernière instance cantonale non susceptible de recours devant le Tribunal administratif fédéral, le recours est recevable.</w:t>
      </w:r>
    </w:p>
    <w:p>
      <w:r>
        <w:rPr>
          <w:b/>
        </w:rPr>
        <w:t>E. 2</w:t>
      </w:r>
    </w:p>
    <w:p>
      <w:r>
        <w:t>Invoquant l' art. 136 al. 1 LDP , les recourants estiment avoir déposé leur recours/réclamation avant l'expiration du délai de six jours. Ils soutiennent qu'il n'était pas possible d'obtenir une décision à ce sujet avant que la votation n'ait lieu; le citoyen devrait pouvoir réunir dans un même acte l'ensemble des griefs qu'il élève contre la votation lorsque les irrégularités se sont succédées et que c'est l'ensemble de ces vices qui justifie l'annulation du scrutin. Les recourants relèvent ainsi que les tous-ménages contenant un "chantage au guichet social" ou affirmant que le Conseil général de Peseux recommandait d'accepter la fusion auraient été distribués jusqu'au jour du scrutin. Ils estiment que l' art. 136 al. 1 LDP ne serait pas clair et donnerait l'impression que le délai de recours s'étend encore six jours après la votation. On ne saurait, sauf à commettre un formalisme excessif, exiger du citoyen qu'il réagisse immédiatement et s'entoure d'avis d'experts avant de réagir à des irrégularités complexes.</w:t>
      </w:r>
    </w:p>
    <w:p>
      <w:r>
        <w:rPr>
          <w:b/>
        </w:rPr>
        <w:t>E. 2.1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l'application de normes de procédure et d'organisation qui ne touchent pas au contenu même des droits politiques ( ATF 141 I 221 consid. 3.1 p. 224 et les réf. cit.). Tel est le cas de l' art. 136 al. 1 LDP , dont la teneur est la suivante:</w:t>
      </w:r>
    </w:p>
    <w:p>
      <w:r>
        <w:t>Le recours ou la réclamation à la chancellerie d'Etat doivent être interjetés dans les six jours qui suivent la découverte des motifs du recours ou de la réclamation mais au plus tard six jours après la publication des résultats de la votation ou de l'élection.</w:t>
      </w:r>
    </w:p>
    <w:p>
      <w:r>
        <w:t>Les recourants ne prétendent nullement que l'application de cette disposition par la Chancellerie d'Etat, puis par la cour cantonale, serait arbitraire. Ils se contentent de faire valoir, de manière appellatoire, leur propre interprétation de cette disposition, ce qui ne constitue pas une motivation recevable au sens de l' art. 106 al. 2 LTF qui pose des exigences accrues dans ce domaine ( ATF 145 I 26 consid. 1.3 p. 30).</w:t>
      </w:r>
    </w:p>
    <w:p>
      <w:r>
        <w:t>L'interprétation de la cour cantonale ne saurait quoi qu'il en soit être considérée comme arbitraire: les irrégularités découvertes avant le scrutin doivent être invoquées immédiatement afin de permettre de réparer le vice et d'éviter un nouveau vote ( ATF 140 I 338 consid. 4.4 p. 341; arrêt 1C_389/2018 du 8 août 2019 consid. 3 destiné à la publication). Tel est le sens de la première phrase de l' art. 136 al. 1 LDP (que l'on retrouve en droit fédéral à l' art. 77 al. 2 LDP ), laquelle n'aurait plus aucune portée si l'on admettait dans tous les cas un délai de recours supplémentaire après la proclamation des résultats.</w:t>
      </w:r>
    </w:p>
    <w:p>
      <w:r>
        <w:t>Cela étant, les recourants ne contestent pas le moment auquel les diverses irrégularités dénoncées ont été découvertes: le communiqué de presse concernant le maintien du guichet social a été publié fin octobre 2018; celui du canton de Neuchâtel date du 6 novembre 2018; le tout-ménage faisant état d'une recommandation du Conseil général avait forcément été distribué avant le 14 novembre 2018, date du démenti officiel. Le fait que les tous-ménages aient été distribués jusqu'au moment du scrutin et que le vote par correspondance ou par Internet ait déjà commencé, ne change rien à la date de la prise de connaissance, seule déterminante selon le droit cantonal pour fixer le dies a quo du délai. Les recourants soutiennent que la cour cantonale serait restée muette s'agissant des irrégularités dans le choix du mode de scrutin; l'arrêt attaqué relève toutefois pertinemment que le mode de scrutin était connu lors de l'envoi du matériel de vote au plus tard trois semaines avant la votation, considération qui vaut pour tous les griefs soulevés par les recourants à ce sujet. L'ensemble des griefs que les recourants entendaient faire valoir à l'encontre de la votation pouvaient donc faire l'objet d'un recours ou d'une réclamation avant celle-ci.</w:t>
      </w:r>
    </w:p>
    <w:p>
      <w:r>
        <w:t>A supposer donc qu'un grief d'arbitraire ait été soulevé et suffisamment motivé, il devrait être écarté.</w:t>
      </w:r>
    </w:p>
    <w:p>
      <w:r>
        <w:rPr>
          <w:b/>
        </w:rPr>
        <w:t>E. 2.2</w:t>
      </w:r>
    </w:p>
    <w:p>
      <w:r>
        <w:t>Les recourants se plaignent en vain d'un formalisme excessif. En effet, l'irrecevabilité qui sanctionne l'inobservation d'un délai de recours n'est pas constitutive d'un formalisme excessif prohibé par l' art. 29 al. 1 Cst. Une stricte application des règles relatives aux délais est justifiée par des motifs d'égalité de traitement et par un intérêt public lié à une bonne administration de la justice et à la sécurité du droit (cf. ATF 125 V 65 consid. 1 p. 66; arrêt 1C_158/2018 du 4 juillet 2018 consid. 4). En matière de droits politiques, la brièveté des délais et la nécessité de leur stricte application se justifient également afin de permettre que les irrégularités puissent être si possible corrigées avant la votation en cause ( ATF 121 I 1 consid. 2 p. 3). Le principe de la bonne foi empêche lui aussi que le citoyen attende l'issue de la votation pour se plaindre d'une irrégularité (BÉNÉDICTE TORNAY, La démocratie directe saisie par le juge, Genève 2008, pp 28, 36).</w:t>
      </w:r>
    </w:p>
    <w:p>
      <w:r>
        <w:rPr>
          <w:b/>
        </w:rPr>
        <w:t>E. 3</w:t>
      </w:r>
    </w:p>
    <w:p>
      <w:r>
        <w:t>La démarche des recourants ayant été à juste titre déclarée irrecevable, le recours est rejeté sans qu'il y ait lieu d'examiner les arguments soulevés sur le fond; la cour cantonale n'avait pas non plus à le faire, de sorte que le grief de déni de justice doit être écarté.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