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1C_365/2009 vom 21. Oktober 2009</w:t>
      </w:r>
    </w:p>
    <w:p>
      <w:r>
        <w:t>Bundesgericht, 2009-10-21, DE</w:t>
      </w:r>
    </w:p>
    <w:p>
      <w:r>
        <w:rPr>
          <w:b/>
        </w:rPr>
        <w:t xml:space="preserve">Quelle: </w:t>
      </w:r>
      <w:r>
        <w:t>https://mcp.opencaselaw.ch/entscheid/bger_1C_365_2009</w:t>
      </w:r>
    </w:p>
    <w:p>
      <w:r>
        <w:t>FR: TF 1C_365/2009 du 21 octobre 2009</w:t>
      </w:r>
    </w:p>
    <w:p>
      <w:r>
        <w:t>IT: TF 1C_365/2009 del 21 ottobre 2009</w:t>
      </w:r>
    </w:p>
    <w:p>
      <w:pPr>
        <w:pStyle w:val="Heading2"/>
      </w:pPr>
      <w:r>
        <w:t>Erwägungen</w:t>
      </w:r>
    </w:p>
    <w:p>
      <w:r>
        <w:rPr>
          <w:b/>
        </w:rPr>
        <w:t>E. 1.1</w:t>
      </w:r>
    </w:p>
    <w:p>
      <w:r>
        <w:t>Die angefochtene Verfügung betrifft eine Angelegenheit des öffentlichen Rechts. Dagegen steht die Beschwerde in öffentlich-rechtlichen Angelegenheiten grundsätzlich offen ( Art. 82 lit. a BGG ).</w:t>
      </w:r>
    </w:p>
    <w:p>
      <w:r>
        <w:rPr>
          <w:b/>
        </w:rPr>
        <w:t>E. 1.2</w:t>
      </w:r>
    </w:p>
    <w:p>
      <w:r>
        <w:t>Bei der angefochtenen Verfügung, in welcher das Gesuch des Beschwerdeführers um Wiederherstellung der aufschiebenden Wirkung abgewiesen wird, handelt es sich um einen selbständig eröffneten Zwischenentscheid. Solche Zwischenentscheide sind gemäss Art. 93 Abs. 1 lit. a BGG nur anfechtbar, wenn sie einen nicht wieder gutzumachenden Nachteil bewirken können.</w:t>
      </w:r>
    </w:p>
    <w:p>
      <w:r>
        <w:t>Im Falle eines Führerausweisentzuges wegen einer unrechtmässig angeordneten Kontrollfahrt könnte der Beschwerdeführer während des Beschwerdeverfahrens nicht über sein Fahrzeug frei verfügen. Die Voraussetzung eines nicht wieder gutzumachenden Nachteils im Sinne von Art. 93 Abs. 1 lit. a BGG ist damit erfüllt.</w:t>
      </w:r>
    </w:p>
    <w:p>
      <w:r>
        <w:rPr>
          <w:b/>
        </w:rPr>
        <w:t>E. 1.3</w:t>
      </w:r>
    </w:p>
    <w:p>
      <w:r>
        <w:t>Entscheide über die aufschiebende Wirkung stellen solche über vorsorgliche Massnahmen nach Art. 98 BGG dar (Urteil des Bundesgerichts 1C_155/2007 vom 13. September 2007 E. 1.2). Nach dieser Vorschrift kann mit der Beschwerde gegen Entscheide über vorsorgliche Massnahmen nur die Verletzung verfassungsmässiger Rechte gerügt werden.</w:t>
      </w:r>
    </w:p>
    <w:p>
      <w:r>
        <w:t>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133 III 393 E. 6 S. 397 mit Hinweisen).</w:t>
      </w:r>
    </w:p>
    <w:p>
      <w:r>
        <w:t>Ob die vorliegende Beschwerdeschrift den gestellten Anforderungen genügt, ist fraglich, kann aber mit Blick auf das Entscheidergebnis offen bleiben.</w:t>
      </w:r>
    </w:p>
    <w:p>
      <w:r>
        <w:rPr>
          <w:b/>
        </w:rPr>
        <w:t>E. 2</w:t>
      </w:r>
    </w:p>
    <w:p>
      <w:r>
        <w:t>Wegen der formellen Natur des Anspruchs auf rechtliches Gehör ist die diesbezügliche Rüge vorab zu behandeln. Der Beschwerdeführer ist der Ansicht, die Vorinstanz habe die Pflicht zur Begründung ihres Entscheids nicht befolgt.</w:t>
      </w:r>
    </w:p>
    <w:p>
      <w:r>
        <w:t>Diese Rüge zielt offensichtlich ins Leere. Die Begründung der ange-fochtenen Verfügung ist so abgefasst, dass sich der Beschwerdeführer über die Tragweite des Entscheids Rechenschaft geben und ihn sachgerecht anfechten kann. Der Anspruch auf rechtliches Gehör verlangt nicht, dass sich die Behörde bis ins Detail zu den Streitfragen äussert (vgl. BGE 134 I 83 E. 4.1 S. 88 mit Hinweisen).</w:t>
      </w:r>
    </w:p>
    <w:p>
      <w:r>
        <w:rPr>
          <w:b/>
        </w:rPr>
        <w:t>E. 3.1</w:t>
      </w:r>
    </w:p>
    <w:p>
      <w:r>
        <w:t>Der Beschwerdeführer bringt vor, die Anordnung einer Kontrollfahrt sei unrechtmässig. Er sei unbestrittenermassen noch nie durch Fahrfehler verkehrsauffällig geworden. Allein sein Alter sei kein Grund zur Anordnung einer Kontrollfahrt. Begründete Bedenken gegen seine Eignung als Fahrzeuglenker seien nicht vorhanden. Die ärztliche Di-agnose sei untauglich, weshalb darauf nicht hätte abgestellt werden dürfen. Die Vorinstanz habe die Wiederherstellung der aufschiebenden Wirkung der Beschwerde daher unter Verletzung des Willkürverbots verweigert.</w:t>
      </w:r>
    </w:p>
    <w:p>
      <w:r>
        <w:rPr>
          <w:b/>
        </w:rPr>
        <w:t>E. 3.2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3.3</w:t>
      </w:r>
    </w:p>
    <w:p>
      <w:r>
        <w:t>Gemäss der angefochtenen Verfügung wird über ein Gesuch um Wiederherstellung der aufschiebenden Beschwerdewirkung aufgrund der Aktenlage entschieden. Bei der Abwägung der Gründe für und gegen die sofortige Vollstreckbarkeit einer Massnahme könne auch der mutmassliche Verfahrensausgang in der Sache eine Rolle spielen.</w:t>
      </w:r>
    </w:p>
    <w:p>
      <w:r>
        <w:t>Im vorliegenden Fall sei das öffentliche Interesse der Verkehrssicherheit, das mit der Anordnung einer Kontrollfahrt geschützt werden solle, höher zu gewichten als die Interessen des Beschwerdeführers. Die angeordnete Kontrollfahrt sei zwar mit einem gewissen zeitlichen und finanziellen Aufwand verbunden, belaste den Beschwerdeführer aber nicht übermässig. Dem Verhältnismässigkeitsprinzip werde insoweit Rechnung getragen, als die Anforderungen an eine Kontrollfahrt weniger hoch seien als an eine Prüfungsfahrt und als dem Beschwerdeführer der Führerausweis vorläufig belassen werde. Es sei nicht ersichtlich, weshalb mit der Durchführung der Kontrollfahrt zugewartet werden sollte, zumal dies der Verkehrssicherheit abträglich sein könnte. Wenn sich im Rahmen des Hauptverfahrens herausstellen sollte, dass die Kontrollfahrt zu Unrecht angeordnet worden sei, wäre dem bei den Kosten- und Entschädigungsfolgen Rechnung zu tragen. Das Gesuch um Wiederherstellung der aufschiebenden Beschwerdewirkung sei somit abzuweisen.</w:t>
      </w:r>
    </w:p>
    <w:p>
      <w:r>
        <w:rPr>
          <w:b/>
        </w:rPr>
        <w:t>E. 3.4</w:t>
      </w:r>
    </w:p>
    <w:p>
      <w:r>
        <w:t>Nach der Praxis sind für den Entscheid über die Gewährung der aufschiebenden Wirkung die entgegenstehenden Interessen abzuwägen und ist das Verhältnismässigkeitsprinzip massgeblich ( BGE 106 Ib 115 E. 2a S. 116). Dabei steht der kantonalen Instanz ein erheblicher Ermessensspielraum zu. Auch ist sie nicht gehalten, für ihren Entscheid zeitraubende zusätzliche Abklärungen zu treffen, sondern sie kann in erster Linie auf die ihr zur Verfügung stehenden Akten abstellen. Das Bundesgericht beschränkt sich auf Beschwerde hin erst recht auf eine vorläufige Prüfung der Akten. Es kontrolliert, ob die kantonale Instanz ihr Ermessen überschritten oder missbraucht hat und hebt deren Entscheid nur auf, wenn sie wesentliche Interessen ausser Acht gelassen oder offensichtlich falsch bewertet hat ( BGE 106 Ia 115 E. 2a S. 116; Urteil des Bundesgerichts 2A.128/2003 vom 3. April 2003 E. 2.2).</w:t>
      </w:r>
    </w:p>
    <w:p>
      <w:r>
        <w:rPr>
          <w:b/>
        </w:rPr>
        <w:t>E. 3.5</w:t>
      </w:r>
    </w:p>
    <w:p>
      <w:r>
        <w:t>Die Vorinstanz nahm eine Interessenabwägung vor. Dieses Vorgehen ist nach dem Gesagten nicht zu beanstanden. Die Abweisung des Gesuchs stützte die Vorinstanz auf das öffentliche Interesse der Verkehrssicherheit. Es handelt sich um ein gewichtiges Interesse, geht es dabei doch um den Schutz von Menschenleben. Die höhere Gewichtung des öffentlichen Interesses im Verhältnis zu den privaten Interessen des Beschwerdeführers, keinen zeitlichen und finanziellen Aufwand tragen zu müssen, war daher zweifelsohne geboten.</w:t>
      </w:r>
    </w:p>
    <w:p>
      <w:r>
        <w:t>Ebenso wenig ist zu beanstanden, dass die Vorinstanz beim derzeitigen Verfahrensstand auf die bei den Akten liegende ärztliche Diagnose abstellte. Ob diese zutrifft oder nicht, ist nicht schon im Rahmen vorsorglicher Massnahmen, sondern erst im Hauptverfahren zu prüfen. Im Übrigen beschränkt sich der Beschwerdeführer auf die Behauptung, die Diagnose sei falsch, ohne dies näher zu begründen.</w:t>
      </w:r>
    </w:p>
    <w:p>
      <w:r>
        <w:t>Der Beschwerdeführer legt auch vor Bundesgericht nicht dar und es ist nicht ersichtlich, welche gewichtigen Gründe gegen die sofortige Durchführung der Kontrollfahrt sprechen würden. Jedenfalls ist es nicht willkürlich, wenn die Vorinstanz in Anbetracht der Aktenlage sowie der einschlägigen Vorschriften des Strassenverkehrsrechts über die Anordnung einer Kontrollfahrt bei über 70-jährigen Ausweisinhabern (vgl. Art. 27 ff. der Verordnung vom 27. Oktober 1976 über die Zulassung von Personen und Fahrzeugen zum Strassenverkehr [Verkehrszulassungsverordnung, VZV; SR 741.51]) die Zuerkennung der aufschiebenden Beschwerdewirkung verweigerte.</w:t>
      </w:r>
    </w:p>
    <w:p>
      <w:r>
        <w:rPr>
          <w:b/>
        </w:rPr>
        <w:t>E. 4</w:t>
      </w:r>
    </w:p>
    <w:p>
      <w:r>
        <w:t>Nach dem Gesagten ist die Beschwerde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