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1C_365/2008 vom 8. Oktober 2008</w:t>
      </w:r>
    </w:p>
    <w:p>
      <w:r>
        <w:t>Bundesgericht, 2008-10-08, DE</w:t>
      </w:r>
    </w:p>
    <w:p>
      <w:r>
        <w:rPr>
          <w:b/>
        </w:rPr>
        <w:t xml:space="preserve">Quelle: </w:t>
      </w:r>
      <w:r>
        <w:t>https://mcp.opencaselaw.ch/entscheid/bger_1C_365_2008</w:t>
      </w:r>
    </w:p>
    <w:p>
      <w:r>
        <w:t>FR: TF 1C_365/2008 du 8 octobre 2008</w:t>
      </w:r>
    </w:p>
    <w:p>
      <w:r>
        <w:t>IT: TF 1C_365/2008 del 8 ottobre 2008</w:t>
      </w:r>
    </w:p>
    <w:p>
      <w:pPr>
        <w:pStyle w:val="Heading2"/>
      </w:pPr>
      <w:r>
        <w:t>Erwägungen</w:t>
      </w:r>
    </w:p>
    <w:p>
      <w:r>
        <w:rPr>
          <w:b/>
        </w:rPr>
        <w:t>E. 1</w:t>
      </w:r>
    </w:p>
    <w:p>
      <w:r>
        <w:t>Mit dem angefochtenen Entscheid verlängerte der Haftrichter die Schutzmassnahmen bis zum 26. September 2008. Den Akten lassen sich keine Hinweise entnehmen, dass die angefochtenen Massnahmen über den 26. September 2008 hinaus verlängert worden wären. Bei dieser Sachlage ist die Beschwerdesache gegenstandslos geworden und demnach abzuschreiben.</w:t>
      </w:r>
    </w:p>
    <w:p>
      <w:r>
        <w:rPr>
          <w:b/>
        </w:rPr>
        <w:t>E. 2</w:t>
      </w:r>
    </w:p>
    <w:p>
      <w:r>
        <w:t>Im Falle der Gegenstandslosigkeit befindet das Bundesgericht mit summarischer Begründung über die Prozesskosten aufgrund der Sachlage vor Eintritt des Erledigungsgrundes ( Art. 72 BZP i.V.m. Art. 71 BGG ). In dieser Hinsicht darf berücksichtigt werden, dass der Beschwerdeführer die Gegenstandslosigkeit des Verfahrens durch die Ausnützung der vollen Beschwerdefrist und des Friststillstandes mitverursachte. Die Rüge der Verletzung von Art. 29a BV ist im Lichte von Art. 130 Abs. 3 BGG unbegründet (Urteil 2C_64/2007 vom 29. März 2007, E. 3.2 [Pra 2997 Nr. 134]). Es kann dem Haftrichter keine Willkür vorgeworfen werden, wenn er gefährdende Handlungen im Sinne des Gewaltschutzgesetzes von Seiten des Beschwerdeführers als glaubhaft qualifizierte. Es rechtfertigt sich daher, dem Beschwerdeführer eine reduzierte Gerichtsgebühr aufzuerlegen. Eine Parteientschädigung steht weder dem Beschwerdeführer noch der Beschwerdegegnerin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