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1C_364/2009 vom 13. April 2010</w:t>
      </w:r>
    </w:p>
    <w:p>
      <w:r>
        <w:t>Bundesgericht, 2010-04-13, DE</w:t>
      </w:r>
    </w:p>
    <w:p>
      <w:r>
        <w:rPr>
          <w:b/>
        </w:rPr>
        <w:t xml:space="preserve">Quelle: </w:t>
      </w:r>
      <w:r>
        <w:t>https://mcp.opencaselaw.ch/entscheid/bger_1C_364_2009</w:t>
      </w:r>
    </w:p>
    <w:p>
      <w:r>
        <w:t>FR: TF 1C_364/2009 du 13 avril 2010</w:t>
      </w:r>
    </w:p>
    <w:p>
      <w:r>
        <w:t>IT: TF 1C_364/2009 del 13 aprile 2010</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Art. 83 BGG ; BGE 133 II 249 E. 1.2 S. 251).</w:t>
      </w:r>
    </w:p>
    <w:p>
      <w:r>
        <w:rPr>
          <w:b/>
        </w:rPr>
        <w:t>E. 1.2</w:t>
      </w:r>
    </w:p>
    <w:p>
      <w:r>
        <w:t>Die Beschwerdeführerin ist als Nachbarin des umstrittenen Baubereichs F im Teilgebiet A des Quartierplans Tinus ohne Weiteres zur Beschwerde legitimiert (zur Legitimation gemäss Art. 89 Abs. 1 BGG siehe BGE 133 II 249 E. 1.3.3 S. 253 f.; Urteil des Bundesgerichts 1C_500/2009 vom 1. Februar 2010 E. 2.2 - 2.6). Die weiteren Sachurteilsvoraussetzungen geben zu keinen Bemerkungen Anlass, weshalb auf die Beschwerde unter Vorbehalt der rechtsgenüglichen Begründung (dazu E. 1.3 und 1.4 hiernach)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geltend gemacht wird. Dies prüft das Bundesgericht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je mit Hinweisen).</w:t>
      </w:r>
    </w:p>
    <w:p>
      <w:r>
        <w:rPr>
          <w:b/>
        </w:rPr>
        <w:t>E. 1.4</w:t>
      </w:r>
    </w:p>
    <w:p>
      <w:r>
        <w:t>Die Feststellung und Würdigung der tatsächlichen Verhältnisse überprüft das Bundesgericht im Rahmen der Beschwerde in öffentlich-rechtlichen Angelegenheiten nach Massgabe der Art. 97 Abs. 1 und 105 Abs. 1 und 2 BGG. Voraussetzung dazu ist allerdings, dass die Beschwerdeführer rechtsgenügend begründete Sachverhaltsrügen im Sinne von Art. 42 Abs. 2 BGG erheben. Solche Sachverhaltsrügen liegen nicht vor. Die Beschwerdeführerin kritisiert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legt die Beschwerdeführerin nicht dar. Insoweit kann auf ihre Beschwerde nicht eingetreten werden.</w:t>
      </w:r>
    </w:p>
    <w:p>
      <w:r>
        <w:rPr>
          <w:b/>
        </w:rPr>
        <w:t>E. 2</w:t>
      </w:r>
    </w:p>
    <w:p>
      <w:r>
        <w:t>Der massgebende Sachverhalt ergibt sich mit hinreichender Klarheit aus den Akten. Auf einen Augenschein kann demnach verzichtet werden.</w:t>
      </w:r>
    </w:p>
    <w:p>
      <w:r>
        <w:rPr>
          <w:b/>
        </w:rPr>
        <w:t>E. 3</w:t>
      </w:r>
    </w:p>
    <w:p>
      <w:r>
        <w:t>Die Beschwerdeführerin macht zunächst geltend, die für den Baubereich F festgelegte maximale Firsthöhe von 1'945 m.ü.M. beruhe auf einer willkürlichen Anwendung von Art. 86 Abs. 4 i.V.m. Art. 89 Abs. 1 des kommunalen Baugesetzes (BG).</w:t>
      </w:r>
    </w:p>
    <w:p>
      <w:r>
        <w:t>Gemäss Art. 9 Abs. 1 QPB richtet sich die Bemessung der Gebäudehöhe nach den Bestimmungen des kommunalen Baugesetzes. Zudem wird in Art. 9 Abs. 2 QPB die maximale Firsthöhe für den Baubereich F auf 1'945 m.ü.M. festgelegt. Art. 86 Abs. 4 BG schreibt für die allgemeine Wohnzone (AWZ) eine maximale Gebäudehöhe von 13 m vor. Die Gebäudehöhe wird nach Art. 89 Abs. 1 BG vom tiefsten Punkt des gewachsenen oder abgetragenen Bodens längs der Gebäudeaussenseite aus gemessen bis zum höchsten Punkt des Daches. Durch Terrainveränderungen dürfen die Vorschriften über die maximale Gebäudehöhe nicht umgangen werden. Der Quartierplan legt die genaue Lage des Gebäudes im Baubereich F noch nicht fest. Da das Grundstück steil abfällt, hat die Gemeinde in Art. 9 Abs. 2 QPB eine maximale Höhenbeschränkung festgelegt, welche auch zu beachten ist, wenn im oberen Teil des Baubereichs F ein Gebäude errichtet wird. Die in Art. 9 Abs. 1 QPB ausdrücklich vorgeschriebene Bemessung der Gebäudehöhe nach den Bestimmungen des kommunalen Baugesetzes stellt sicher, dass die maximale Gebäudehöhe von 13 m eingehalten und die Vorschriften über die maximale Gebäudehöhe nicht durch Terrainveränderungen umgangen werden (Art. 86 Abs. 4 i.V.m. Art. 89 Abs. 1 BG). Damit ist gewährleistet, dass der Quartierplan in Bezug auf die Gebäudehöhe nicht vom Baugesetz abweicht. Dies ergibt sich auch aus den Erwägungen des Verwaltungsgerichts im angefochtenen Entscheid. Der Kritik der Beschwerdeführerin an diesen Ausführungen kann nicht gefolgt werden.</w:t>
      </w:r>
    </w:p>
    <w:p>
      <w:r>
        <w:rPr>
          <w:b/>
        </w:rPr>
        <w:t>E. 4</w:t>
      </w:r>
    </w:p>
    <w:p>
      <w:r>
        <w:t>Die Beschwerdeführerin macht weiter geltend, der Baubereich F unterschreite den massgebenden grossen Grenzabstand von 8 m. Das Verwaltungsgericht legt im angefochtenen Entscheid dar, dass der Baubereich F hangaufwärts nur den Strassenabstand beachten müsse, da zwischen dem Gebäude der Beschwerdeführerin und der Bauparzelle eine Quartierstrasse liege. Diese Auslegung des kommunalen Baurechts kann keineswegs als willkürlich bezeichnet werden. Gemäss Art. 91 Abs. 8 BG ist für den Mindestabstand der Gebäude vom Fahrbandrand in Ermangelung einer Baulinie der kleine Grenzabstand, wenigstens aber 4 m einzuhalten. In der AWZ gilt nach Art. 86 Abs. 4 BG ein kleiner Grenzabstand von 5 m, welcher vom Baubereich F eingehalten wird. Die Beschwerdeführerin setzt sich mit dieser Begründung nicht auseinander, sondern beruft sich auf den grossen Grenzabstand von 8 m ohne aufzuzeigen, inwiefern dieser dem Grenzabstand gegenüber der Strasse im Sinne von Art. 91 Abs. 8 BG vorgehen sollte. Da somit keine hinreichend substanziierte Kritik an der Argumentation der Vorinstanz vorliegt, ist auf die Beschwerde in diesem Punkt nicht weiter einzugehen. Hingegen ist der Beschwerdeführerin darin zuzustimmen, dass der Grenzabstand in Anwendung von Art. 91 Abs. 8 BG vom Fahrbahnrand und nicht von der Fahrbahnmitte aus zu messen ist. Diese Vorschrift ist im Rahmen der Baubewilligung für das konkrete Gebäude innerhalb des Baubereichs F einzuhalten. Aus der zeichnerischen Darstellung des Quartierplans ergeben sich keine Anhaltspunkte, dass der gesetzliche Grenzabstand von 5 m unterschritten wird.</w:t>
      </w:r>
    </w:p>
    <w:p>
      <w:r>
        <w:rPr>
          <w:b/>
        </w:rPr>
        <w:t>E. 5</w:t>
      </w:r>
    </w:p>
    <w:p>
      <w:r>
        <w:t>Da der Baubereich F die gesetzlichen Abstands- und Höhenvorschriften einhält, kann insbesondere beim vorliegenden steilen Gelände von einem unzulässigen Entzug von Licht und Sonne keine Rede sein. Die von der Beschwerdeführerin beklagten negativen Immissionen wie der teilweise Verlust der bisherigen Aussicht stellen keine unzulässige Beschränkung ihres Eigentums dar. Vielmehr soll mit dem Quartierplan die rechtmässige Nutzung bisher unüberbauten Baulands ermöglicht werden. Die mit dem Quartierplan angestrebte Überbauung liegt im öffentlichen Interesse, da sie insbesondere der haushälterischen Nutzung des Bodens und der geordneten Siedlungsentwicklung ( Art. 1 Abs. 1 RPG ) dient. Auch eine Missachtung des Grundsatzes der Verhältnismässigkeit ist nicht ersichtlich.</w:t>
      </w:r>
    </w:p>
    <w:p>
      <w:r>
        <w:rPr>
          <w:b/>
        </w:rPr>
        <w:t>E. 6</w:t>
      </w:r>
    </w:p>
    <w:p>
      <w:r>
        <w:t>Den weiteren Rügen der Beschwerdeführerin kann ebenfalls nicht gefolgt werden. Dass die vorhandene strassenmässige Erschliessung den rechtlichen Anforderungen genügt, wurde im Quartierplanverfahren mit dem Gutachten Hartmann detailliert nachgewiesen. Teilweise problematische Verkehrsverhältnisse während der Hochsaison vermögen an der grundsätzlichen Geeignetheit der Via Tinus als Erschliessungsstrasse nichts zu ändern. Jedenfalls ist die entsprechende Würdigung der Vorinstanz mit dem Willkürverbot vereinbar.</w:t>
      </w:r>
    </w:p>
    <w:p>
      <w:r>
        <w:t>Inwieweit die in Art. 8 Abs. 2 QPB gewährte Möglichkeit der Erhöhung der Ausnützungsziffer um 10 % auf 0.55 gegen baurechtliche Normen verstossen soll, ist ebenfalls nicht ersichtlich. Sowohl die genannte Quartierplanbestimmung als auch Art. 123 Abs. 2 Ziff. 3 BG setzen für die Gewährung des Ausnützungsbonus voraus, dass die geplanten Bauten Gewähr bieten für eine gute Beziehung untereinander sowie zur baulichen und landschaftlichen Umgebung. Diese Voraussetzung wird im Baubewilligungsverfahren durch den Gemeindevorstand überprüft (Art. 8 Abs. 2 QPB). Der Beschwerdeführerin kann nicht zugestimmt werden, dass die Voraussetzungen für die Gewährung der höheren Ausnützung mit Sicherheit nicht erfüllt werden können. Vielmehr wird im Baubewilligungsverfahren zu beurteilen sein, ob die geplanten Gebäude den baurechtlichen Anforderungen für eine höhere Ausnützung entsprechen. Die im Quartierplan getroffene Regelung ist vor diesem Hintergrund nicht zu beanstanden.</w:t>
      </w:r>
    </w:p>
    <w:p>
      <w:r>
        <w:rPr>
          <w:b/>
        </w:rPr>
        <w:t>E. 7</w:t>
      </w:r>
    </w:p>
    <w:p>
      <w:r>
        <w:t>Zusammenfassend ergibt sich, dass die Beschwerde abzuweisen ist, soweit darauf eingetreten werden kann. Die Gerichtskosten sind der unterliegenden Beschwerdeführerin aufzuerlegen ( Art. 66 Abs. 1 BGG ). Obsiegenden Gemeinden wird keine Parteientschädigung zugesprochen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