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363/2022 vom 23. Juni 2022</w:t>
      </w:r>
    </w:p>
    <w:p>
      <w:r>
        <w:t>Bundesgericht, 2022-06-23, DE</w:t>
      </w:r>
    </w:p>
    <w:p>
      <w:r>
        <w:rPr>
          <w:b/>
        </w:rPr>
        <w:t xml:space="preserve">Quelle: </w:t>
      </w:r>
      <w:r>
        <w:t>https://mcp.opencaselaw.ch/entscheid/bger_1C_363_2022</w:t>
      </w:r>
    </w:p>
    <w:p>
      <w:r>
        <w:t>FR: TF 1C 363/2022 du 23 juin 2022</w:t>
      </w:r>
    </w:p>
    <w:p>
      <w:r>
        <w:t>IT: TF 1C 363/2022 del 23 giugno 2022</w:t>
      </w:r>
    </w:p>
    <w:p>
      <w:pPr>
        <w:pStyle w:val="Heading2"/>
      </w:pPr>
      <w:r>
        <w:t>Regeste</w:t>
      </w:r>
    </w:p>
    <w:p>
      <w:r>
        <w:t>Auslieferung an Deutschland | Rechtshilfe und Auslieferung</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 Ein besonders bedeutender Fall liegt insbesondere vor, wenn Gründe für die Annahme bestehen, dass elementare Verfahrensgrundsätze verletzt worden sind oder das Verfahren im Ausland schwere Mängel aufweist ( Art. 84 Abs. 2 BGG ; BGE 145 IV 99 E. 1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mit Hinweisen). 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Aus der Beschwerdeschrift und dem angefochtenen Entscheid geht hervor, dass das deutsche Landgericht Regensburg am 10. Dezember 2019 die Reststrafe zur Bewährung aussetzte, jedoch am 2. März 2020 den Erlass des Vollzugs der Reststrafe wieder aufhob. Grund dafür sei gewesen, dass der Beschwerdeführer Deutschland weisungswidrig in Richtung Schweiz verlassen hatte. Die besondere Bedeutung des Falls erblickt der Beschwerdeführer darin, dass er vom Landgericht Regensburg vor dem Aufhebungsbeschluss nicht persönlich angehört worden sei. Es sei nicht ausreichend, dass sein Rechtsvertreter sich an der Verhandlung habe äussern können. Diese Auffassung ist unzutreffend. Angesichts seines weisungswidrigen Verhaltens hatte es sich der Beschwerdeführer selbst zuzuschreiben, dass der Aufhebungsbeschluss in seiner Abwesenheit erging (vgl. Urteil des EGMR Demebukov gegen Bulgarien vom 28. Februar 2008, Beschwerde-Nr. 68020/01, Ziff. 57 f.). Darüber hinaus macht er nicht geltend, von der Verhandlung nicht im Voraus gewusst zu haben. Zudem blieb sein Recht auf wirksame Verteidigung gewahrt (vgl. Urteil des EGMR Sejdovic gegen Italien vom 1. März 2006, Beschwerde-Nr. 56581/00, Ziff. 91). Ein besonders bedeutender Fall liegt deshalb nicht vor.</w:t>
      </w:r>
    </w:p>
    <w:p>
      <w:r>
        <w:rPr>
          <w:b/>
        </w:rPr>
        <w:t>E. 2</w:t>
      </w:r>
    </w:p>
    <w:p>
      <w:r>
        <w:t>Auf die Beschwerde ist somit nicht einzutreten. Damit wird der Antrag des Beschwerdeführers, es sei ihm eine angemessene Frist zur Ergänzung der Beschwerdeschrift einzuräumen ( Art. 43 BGG ), gegenstandslos.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