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1C_363/2008 vom 14. November 2008</w:t>
      </w:r>
    </w:p>
    <w:p>
      <w:r>
        <w:t>Bundesgericht, 2008-11-14, FR</w:t>
      </w:r>
    </w:p>
    <w:p>
      <w:r>
        <w:rPr>
          <w:b/>
        </w:rPr>
        <w:t xml:space="preserve">Quelle: </w:t>
      </w:r>
      <w:r>
        <w:t>https://mcp.opencaselaw.ch/entscheid/bger_1C_363_2008</w:t>
      </w:r>
    </w:p>
    <w:p>
      <w:r>
        <w:t>FR: TF 1C_363/2008 du 14 novembre 2008</w:t>
      </w:r>
    </w:p>
    <w:p>
      <w:r>
        <w:t>IT: TF 1C_363/2008 del 14 novembre 2008</w:t>
      </w:r>
    </w:p>
    <w:p>
      <w:pPr>
        <w:pStyle w:val="Heading2"/>
      </w:pPr>
      <w:r>
        <w:t>Erwägungen</w:t>
      </w:r>
    </w:p>
    <w:p>
      <w:r>
        <w:rPr>
          <w:b/>
        </w:rPr>
        <w:t>E. 1</w:t>
      </w:r>
    </w:p>
    <w:p>
      <w:r>
        <w:t>Seules des raisons d'opportunité peuvent être invoquées, en l'espèce, pour justifier la suspension de la procédure de recours au Tribunal fédéral ( art. 6 al. 1 PCF par renvoi de l' art. 71 LTF ). Or, comme le droit cantonal fait dépendre la recevabilité d'une demande de révision de l'absence de voie de recours contre la décision dont la révision est requise (art. 105 al. 3 CPJA), il ne paraît pas opportun de différer l'examen, par le Tribunal fédéral, du présent recours. Il y a donc lieu de statuer en l'état.</w:t>
      </w:r>
    </w:p>
    <w:p>
      <w:r>
        <w:rPr>
          <w:b/>
        </w:rPr>
        <w:t>E. 2</w:t>
      </w:r>
    </w:p>
    <w:p>
      <w:r>
        <w:t>La voie du recours en matière de droit public est ouverte en l'espèce, la décision attaquée ayant été rendue dans une cause de droit public ( art. 82 let. a LTF ), dans une matière - le droit de l'aménagement du territoire et des constructions au sens large, qui comprend la législation cantonale sur les routes - où aucune des clauses d'exception de l' art. 83 LTF ne s'applique. En raison de son caractère subsidiaire, la voie du recours constitutionnel n'est pas ouverte ( art. 113 LTF ). Le présent recours sera donc traité exclusivement comme un recours en matière de droit public.</w:t>
      </w:r>
    </w:p>
    <w:p>
      <w:r>
        <w:t>La contestation porte sur l'application du droit public cantonal (à savoir des dispositions de la loi cantonale sur les routes) pour résoudre des "difficultés" dans l'exercice d'un droit de passage. Vu la solution adoptée, sur ce point, par le Préfet puis par la IIe Cour administrative, il a été décidé définitivement, au niveau cantonal, que le règlement de ce litige ne relevait pas du droit public, mais bien du droit privé. Cette décision est cependant intervenue dans le cadre d'une procédure administrative qui n'est peut-être pas achevée, le Préfet ayant dit que certains travaux exécutés devraient encore être autorisés. On peut donc se demander si, à ce stade, la décision du Tribunal cantonal est une décision finale, voire une décision partielle (cf. art. 90 et 91 LTF ), ou plutôt une décision incidente (cf. art. 93 LTF ). Cette question peut toutefois demeurer indécise. Sous cette réserve, les autres conditions de recevabilité paraissant remplies, il y a lieu d'entrer en matière.</w:t>
      </w:r>
    </w:p>
    <w:p>
      <w:r>
        <w:rPr>
          <w:b/>
        </w:rPr>
        <w:t>E. 3</w:t>
      </w:r>
    </w:p>
    <w:p>
      <w:r>
        <w:t>Le recourant prétend que les constatations de fait, dans l'arrêt attaqué, sont arbitraires parce qu'il est écrit, au consid. 2b, que l'intimé B.________ est "propriétaire de l'art. 116 RF", alors que cette parcelle appartient à D.________ SA.</w:t>
      </w:r>
    </w:p>
    <w:p>
      <w:r>
        <w:t>Dans l'état de fait de l'arrêt attaqué, il est précisé (à deux reprises) que le propriétaire de la parcelle n° 116 - où se trouve l'assiette de la servitude litigieuse - est D.________ SA. Dans les motifs en revanche, un autre nom de propriétaire est indiqué pour cette parcelle. Il s'agit manifestement d'une inadvertance, puisque l'état de fait est clair à ce sujet. En commettant cette erreur de dénomination, aisément rectifiable, le Tribunal cantonal n'a à l'évidence pas violé le droit constitutionnel fédéral. Le grief d'arbitraire ( art. 9 Cst. ) est à ce propos mal fondé.</w:t>
      </w:r>
    </w:p>
    <w:p>
      <w:r>
        <w:rPr>
          <w:b/>
        </w:rPr>
        <w:t>E. 4</w:t>
      </w:r>
    </w:p>
    <w:p>
      <w:r>
        <w:t>Le recourant se plaint en outre d'une application arbitraire du droit cantonal. En substance, il soutient que la voie de communication, sur la parcelle n° 116, est une route publique, parce que son propriétaire (D.________ SA) n'a pas manifesté le désir d'attribuer à ce chemin un caractère privé; l'activité commerciale de D.________ SA (location de halle de stockage à plusieurs entreprises) engendre du reste un fort trafic de véhicules divers et particulièrement de camions. Selon le recourant, il n'est pas conforme aux buts de la loi cantonale sur les routes que cette voie de communication n'y soit pas soumise.</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insoutenable ou en contradiction manifeste avec la situation effective, si elle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et les arrêts cités).</w:t>
      </w:r>
    </w:p>
    <w:p>
      <w:r>
        <w:rPr>
          <w:b/>
        </w:rPr>
        <w:t>E. 4.2</w:t>
      </w:r>
    </w:p>
    <w:p>
      <w:r>
        <w:t>Il n'est pas contesté que la voie litigieuse est une route privée, qui ne fait pas partie du domaine public communal ou cantonal. Il n'est pas non plus contesté que cette voie n'a pas fait l'objet d'une décision communale d'affectation à l'usage commun, selon l'art. 17 al. 2 LR. En conséquence, d'après l'arrêt attaqué, seule une ouverture effective au public (indépendamment d'une décision) pourrait justifier l'application de la loi sur les routes; le recourant se fonde également sur cette argumentation. Il n'y a pas lieu d'examiner plus avant cette interprétation du droit cantonal dans une contestation qui ne porte pas sur l'application des règles du droit fédéral de la circulation routière, mais sur la compétence du juge civil ou, au contraire, de l'autorité administrative pour résoudre des "difficultés" dans l'exercice d'une servitude.</w:t>
      </w:r>
    </w:p>
    <w:p>
      <w:r>
        <w:t>Cela étant, la IIe Cour administrative a considéré que la route privée litigieuse n'était pas effectivement ouverte au public parce que ses utilisateurs étaient bien déterminés, à cause de leurs liens avec les propriétaires des terrains desservis (employés, livreurs, clients) ou en tant que titulaires de droits réels restreints. D'autres utilisateurs de la route n'y passent qu'occasionnellement. Ces critères ne sont pas insoutenables. Par ailleurs, le recourant ne prétend pas que la route privée aurait d'autres fonctions, dans la voirie de la commune. Aussi la solution retenue en dernière instance cantonale n'apparaît-elle pas arbitraire. Les griefs du recourant sont en conséquence mal fondés.</w:t>
      </w:r>
    </w:p>
    <w:p>
      <w:r>
        <w:rPr>
          <w:b/>
        </w:rPr>
        <w:t>E. 5</w:t>
      </w:r>
    </w:p>
    <w:p>
      <w:r>
        <w:t>Il s'ensuit que le recours doit être rejeté, dans la mesure où il est recevable.</w:t>
      </w:r>
    </w:p>
    <w:p>
      <w:r>
        <w:t>Le recourant, qui succombe, doit prendre en charge les frais judiciaires ( art. 65 al. 1 et art. 66 al. 1 LTF ). Il aura en outre à payer des dépens aux intimés, assistés d'un avocat ( art. 68 al. 1 et 2 LTF ). Ni la commune ni les autorités du canton n'ont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