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1C_361/2014 vom 26. Januar 2015</w:t>
      </w:r>
    </w:p>
    <w:p>
      <w:r>
        <w:t>Bundesgericht, 2015-01-26, FR</w:t>
      </w:r>
    </w:p>
    <w:p>
      <w:r>
        <w:rPr>
          <w:b/>
        </w:rPr>
        <w:t xml:space="preserve">Quelle: </w:t>
      </w:r>
      <w:r>
        <w:t>https://mcp.opencaselaw.ch/entscheid/bger_1C_361_2014</w:t>
      </w:r>
    </w:p>
    <w:p>
      <w:r>
        <w:t>FR: TF 1C_361/2014 du 26 janvier 2015</w:t>
      </w:r>
    </w:p>
    <w:p>
      <w:r>
        <w:t>IT: TF 1C_361/2014 del 26 gennaio 2015</w:t>
      </w:r>
    </w:p>
    <w:p>
      <w:pPr>
        <w:pStyle w:val="Heading2"/>
      </w:pPr>
      <w:r>
        <w:t>Erwägungen</w:t>
      </w:r>
    </w:p>
    <w:p>
      <w:r>
        <w:rPr>
          <w:b/>
        </w:rPr>
        <w:t>E. 1</w:t>
      </w:r>
    </w:p>
    <w:p>
      <w:r>
        <w:t>La voie du recours en matière de droit public, au sens des art. 82 ss LTF , est en principe ouverte contre une décision prise en dernière instance cantonale au sujet d'une mesure administrative de retrait ou d'annulation du permis de conduire, aucune des exceptions mentionnées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Dans son écriture, le recourant prétend qu'il conviendrait de rectifier l'état de fait de l'arrêt entrepris qui serait lacunaire.</w:t>
      </w:r>
    </w:p>
    <w:p>
      <w:r>
        <w:t>Le Tribunal fédéral fonde en principe son raisonnement juridique sur les faits retenus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critiquer les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w:t>
      </w:r>
    </w:p>
    <w:p>
      <w:r>
        <w:t>Le recourant soutient notamment que l'état de fait de l'arrêt cantonal serait lacunaire dans la mesure où le Tribunal cantonal n'a pas déterminé si le recourant avait pu ou non voir le véhicule en sens inverse avant d'effectuer sa manoeuvre d'évitement. Sa critique tombe à faux. En effet, le Tribunal cantonal a établi que "la configuration des lieux (manoeuvre effectuée peu avant une courbe prononcée à droite) ne permettait en effet pas au recourant de s'assurer qu'aucun véhicule ne survenait en sens inverse". Cette constatation s'avère par ailleurs confirmée par les allégations du recourant selon lesquelles il n'avait pas vu le véhicule arriver de l'autre côté du virage.</w:t>
      </w:r>
    </w:p>
    <w:p>
      <w:r>
        <w:t>Pour le reste, l'écriture du recourant ne comporte aucune démonstration du caractère arbitraire de l'état de fait qui satisferait aux exigences de motivation précitées. Il n'y a dès lors pas lieu de prendre en considération d'autres faits que ceux retenus dans l'arrêt cantonal.</w:t>
      </w:r>
    </w:p>
    <w:p>
      <w:r>
        <w:rPr>
          <w:b/>
        </w:rPr>
        <w:t>E. 3</w:t>
      </w:r>
    </w:p>
    <w:p>
      <w:r>
        <w:t>Le recourant conteste ensuite avoir violé l' art. 31 LCR .</w:t>
      </w:r>
    </w:p>
    <w:p>
      <w:r>
        <w:rPr>
          <w:b/>
        </w:rPr>
        <w:t>E. 3.1</w:t>
      </w:r>
    </w:p>
    <w:p>
      <w:r>
        <w:t>Aux termes de l' art. 31 al. 1 LCR ,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(cf. BUSSY/RUSCONI, Code suisse de la circulation routière, 3</w:t>
      </w:r>
    </w:p>
    <w:p>
      <w:r>
        <w:t>e éd., 1996, n. 3.1 et 3.1.2 ad art. 31 LCR ; ATF 115 IV 248 in JdT 1989 I 693; RJN 1997 p. 174).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 ATF 83 IV 84 ; cf. également arrêt du Tribunal fédéral 1C_294/2008 du 18 novembre 2008 consid. 3.1).</w:t>
      </w:r>
    </w:p>
    <w:p>
      <w:r>
        <w:rPr>
          <w:b/>
        </w:rPr>
        <w:t>E. 3.2</w:t>
      </w:r>
    </w:p>
    <w:p>
      <w:r>
        <w:t>Le recourant prétend qu'il n'aurait pas perdu la maîtrise de son véhicule. La prétendue perte de maîtrise serait due à un élément extérieur, à savoir la survenance inopinée d'un animal devant la voiture. A ses yeux, en raison de cet élément extérieur et imprévisible, aucune faute ne pourrait lui être reprochée.</w:t>
      </w:r>
    </w:p>
    <w:p>
      <w:r>
        <w:rPr>
          <w:b/>
        </w:rPr>
        <w:t>E. 3.3</w:t>
      </w:r>
    </w:p>
    <w:p>
      <w:r>
        <w:t>En l'espèce, il n'est pas contesté que le recourant circulait à une vitesse d'environ 40 km/h et que, peu avant un virage prononcé à droite, il a donné un coup de volant à gauche pour éviter un animal qui traversait la route; il a alors empiété sur la voie opposée où il a heurté un véhicule qui arrivait en sens inverse. Compte tenu de ces circonstances, la perte de maîtrise du véhicule par le recourant - ayant conduit à l'accident - doit lui être imputée à faute. Le fait d'avoir été surpris par un animal sur la chaussée et d'avoir choisi de l'éviter en se dirigeant sur la voie de circulation inverse ne peut l'exculper. Le recourant se méprend à cet égard lorsqu'il affirme de manière péremptoire que les erreurs d'appréciation ou les mauvais choix en matière de circulation routière ne peuvent être sanctionnés. L'intéressé ne peut pas en l'occurrence se prévaloir d'une erreur d'appréciation excusable. En effet, selon les faits établis par le Tribunal cantonal, la configuration des lieux (manoeuvre effectuée peu avant une courbe prononcée à droite) ne permettait pas au recourant de s'assurer qu'aucun véhicule ne survenait en sens inverse. De ce fait, c'est à juste titre que le Tribunal cantonal a considéré que l'intéressé aurait dû entreprendre un freinage d'urgence et risquer de percuter l'animal. En l'absence de visibilité suffisante sur la circulation venant en sens inverse, la manoeuvre qui s'imposait comme la plus évidente était de freiner immédiatement, même si le recourant était confronté à une situation exigeant une décision très rapide. Il ne pouvait en effet ignorer qu'en se déportant "à l'aveugle" sur la voie opposée, il provoquait un danger sérieux pour les usagers de la route venant en sens inverse, danger qui s'est concrétisé par la collision avec un autre véhicule. Quoi qu'en pense le recourant, peu importe dans ce contexte que la probabilité qu'un véhicule arrive en sens inverse soit beaucoup plus faible que le contraire. Par ailleurs, le fait que le recourant n'était pas sous l'influence de l'alcool ou de produits stupéfiants, qu'il n'était pas fatigué, qu'il ne téléphonait pas en conduisant et qu'il ne circulait pas à une vitesse excessive ne permet pas de modifier cette appréciation.</w:t>
      </w:r>
    </w:p>
    <w:p>
      <w:r>
        <w:t>Le Tribunal cantonal a dès lors correctement appliqué le droit fédéral en retenant que le recourant avait violé l' art. 31 al. 1 LCR .</w:t>
      </w:r>
    </w:p>
    <w:p>
      <w:r>
        <w:rPr>
          <w:b/>
        </w:rPr>
        <w:t>E. 4</w:t>
      </w:r>
    </w:p>
    <w:p>
      <w:r>
        <w:t>Le recourant reproche également à l'instance précédente d'avoir qualifié l'infraction reprochée de moyennement grave. Celle-ci aurait dû retenir une infraction particulièrement légère, ce qui devrait entraîner une renonciation à toute mesure administrative en vertu de l' art. 16a al. 4 LCR .</w:t>
      </w:r>
    </w:p>
    <w:p>
      <w:r>
        <w:rPr>
          <w:b/>
        </w:rPr>
        <w:t>E. 4.1</w:t>
      </w:r>
    </w:p>
    <w:p>
      <w:r>
        <w:t>A teneur de l' art. 15a LCR , le permis de conduire est tout d'abord délivré à l'essai pour trois ans (al. 1). En cas de retrait du permis en raison d'une infraction, la période probatoire est prolongée d'un an (al. 3). Le permis de conduire à l'essai est caduc lorsque son titulaire commet une seconde infraction entraînant un retrait (al. 4).</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4 LCR ). Commet une infraction moyennement grave selon l' art. 16b al. 1 let. a LCR la personne qui, en violant les règles de la circulation, crée un danger pour la sécurité d'autrui ou en prend le risque. Commet enfin une infraction grave selon l' art. 16c al. 1 let. a LCR la personne qui, en violant gravement les règles de la circulation, met sérieusement en danger la sécurité d'autrui ou en prend le risque.</w:t>
      </w:r>
    </w:p>
    <w:p>
      <w:r>
        <w:t>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p. 452 et les références).</w:t>
      </w:r>
    </w:p>
    <w:p>
      <w:r>
        <w:rPr>
          <w:b/>
        </w:rPr>
        <w:t>E. 4.2</w:t>
      </w:r>
    </w:p>
    <w:p>
      <w:r>
        <w:t>En l'occurrence, le recourant a provoqué la collision avec un véhicule automobile occasionnant des dégâts matériels non négligeables à celui-ci. Comme retenu par l'instance précédente, la mise en danger des autres usagers de la route induite par la faute du recourant ne peut donc être qualifiée de légère. Il est en effet notoire que le fait de percuter un véhicule représente un risque élevé de blessures pour les personnes impliquées. Vu la gravité de la mise en danger, l'admission d'une infraction légère ou particulièrement légère est donc exclue. Les arguments avancés par le recourant ne sont pas susceptibles de modifier cette appréciation. Quoi qu'en pense l'intéressé, le Tribunal cantonal n'a pas accordé un poids excessif à l'accident survenu. Le recourant semble perdre de vue que le degré de la mise en danger de la sécurité d'autrui constitue, avec celui de la gravité de la faute, les critères essentiels de distinction des infractions en matière de retrait de permis. C'est en outre à tort que le recourant affirme que la gravité de la mise en danger détermine celle de la faute, celle-ci ayant été au demeurant laissée indécise par l'instance précédente. Enfin, le recourant invoque en vain une inégalité de traitement dès lors que les deux affaires auxquelles il se réfère ne sont manifestement pas comparables au cas d'espèce (affaire concernant une juge d'application des peines qui avait fait une mauvaise appréciation des risques en libérant un détenu et celle relative à un policier qui avait dépassé la vitesse autorisée et brûlé un feu rouge).</w:t>
      </w:r>
    </w:p>
    <w:p>
      <w:r>
        <w:t>L'infraction réalisée par le recourant - qualifiée de moyennement grave par l'instance précédente - doit donc entraîner un second retrait de permis (cf. art. 16b al. 2 let. a LCR ), avec pour conséquence la caducité du permis de conduire à l'essai conformément à l' art. 15a al. 4 LCR .</w:t>
      </w:r>
    </w:p>
    <w:p>
      <w:r>
        <w:t>Enfin, le recourant ne peut se prévaloir du principe de la proportionnalité puisque l' art. 15a al. 4 LCR prévoit impérativement la caducité du permis de conduire à l'essai si le conducteur concerné fait l'objet d'un second retrait de permis; aucune solution moins contraignante n'est autorisée. La critique du recourant se heurte en effet dans tous les cas à l' art. 190 Cst. qui contraint le T ribunal fédéral à appliquer les lois fédérales ( ATF 136 II 120 consid. 3.5.1 p. 130; 131 II 562 consid. 3.2 p. 565).</w:t>
      </w:r>
    </w:p>
    <w:p>
      <w:r>
        <w:rPr>
          <w:b/>
        </w:rPr>
        <w:t>E. 5</w:t>
      </w:r>
    </w:p>
    <w:p>
      <w:r>
        <w:t>Le Tribunal cantonal n'a donc pas violé le droit fédéral en confirmant l'annulation du permis de conduire à l'essai.</w:t>
      </w:r>
    </w:p>
    <w:p>
      <w:r>
        <w:t>Le recours doit par conséquent être rejeté,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