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1C_361/2010 vom 6. September 2010</w:t>
      </w:r>
    </w:p>
    <w:p>
      <w:r>
        <w:t>Bundesgericht, 2010-09-06, FR</w:t>
      </w:r>
    </w:p>
    <w:p>
      <w:r>
        <w:rPr>
          <w:b/>
        </w:rPr>
        <w:t xml:space="preserve">Quelle: </w:t>
      </w:r>
      <w:r>
        <w:t>https://mcp.opencaselaw.ch/entscheid/bger_1C_361_2010</w:t>
      </w:r>
    </w:p>
    <w:p>
      <w:r>
        <w:t>FR: TF 1C_361/2010 du 6 septembre 2010</w:t>
      </w:r>
    </w:p>
    <w:p>
      <w:r>
        <w:t>IT: TF 1C_361/2010 del 6 settembre 2010</w:t>
      </w:r>
    </w:p>
    <w:p>
      <w:pPr>
        <w:pStyle w:val="Heading2"/>
      </w:pPr>
      <w:r>
        <w:t>Erwägungen</w:t>
      </w:r>
    </w:p>
    <w:p>
      <w:r>
        <w:rPr>
          <w:b/>
        </w:rPr>
        <w:t>E. 1</w:t>
      </w:r>
    </w:p>
    <w:p>
      <w:r>
        <w:t>Selon l' art. 84 al. 1 LTF , le recours en matière de droit public est recevable contre une décision rendue par le Tribunal pénal fédéral en matière d'entraide pénale internationale s'il a pour objet une extradition, une saisie, le transfert d'objets ou de valeurs ou la transmission de renseignements concernant le domaine secret, et s'il concerne un cas particulièrement important. La condition première pour admettre la recevabilité d'un tel recours est l'existence d'une décision rendue en matière d'entraide judiciaire, portant sur l'un des objets précités.</w:t>
      </w:r>
    </w:p>
    <w:p>
      <w:r>
        <w:rPr>
          <w:b/>
        </w:rPr>
        <w:t>E. 1.1</w:t>
      </w:r>
    </w:p>
    <w:p>
      <w:r>
        <w:t>En l'occurrence, la décision de l'OFJ consiste en un refus d'assurer au recourant qu'il ne sera pas arrêté ou extradé en exécution d'une éventuelle demande formée dans ce sens par la Fédération de Russie. Il ne s'agit pas d'une information fondée sur l'art. 13 de l'ordonnance Interpol (RS 351.21), pour laquelle l'OFJ n'a d'ailleurs pas de compétence ( ATF 132 II 342 ). On ne saurait y voir non plus une décision par laquelle l'autorité suisse statuerait formellement sur une telle demande, ni même l'une des décisions provisoires que cette autorité pourrait prendre en application des art. 18 ou 47 EIMP .</w:t>
      </w:r>
    </w:p>
    <w:p>
      <w:r>
        <w:rPr>
          <w:b/>
        </w:rPr>
        <w:t>E. 1.2</w:t>
      </w:r>
    </w:p>
    <w:p>
      <w:r>
        <w:t>Faute de porter directement sur l'extradition ou sur la détention extraditionnelle, l'arrêt attaqué ne peut donc pas faire l'objet du recours prévu à l' art. 84 LTF .</w:t>
      </w:r>
    </w:p>
    <w:p>
      <w:r>
        <w:rPr>
          <w:b/>
        </w:rPr>
        <w:t>E. 2</w:t>
      </w:r>
    </w:p>
    <w:p>
      <w:r>
        <w:t>Le recours en matière de droit public pourrait certes se fonder sur la disposition générale de l' art. 82 let. a LTF . A supposer qu'il soit ainsi recevable contre un arrêt d'irrecevabilité du Tribunal pénal fédéral (art. 86 al. 1 let. b et 89 al. 1 let. a in fine LTF), il devrait de toute manière être rejeté.</w:t>
      </w:r>
    </w:p>
    <w:p>
      <w:r>
        <w:t>En effet, la personne éventuellement visée par une demande d'extradition n'a pas un droit à ce qu'il soit statué, le cas échéant par anticipation, sur une telle demande. Dans l'hypothèse où la Suisse ne serait pas encore saisie d'une requête formelle d'extradition, mais d'une simple demande d'arrestation, l'autorité ne pourrait d'ailleurs donner aucune assurance quant au sort d'une éventuelle demande d'extradition formée par la suite par l'Etat étranger. Dans ce sens, les considérations du Tribunal pénal fédéral sur la qualité pour agir du recourant, auxquelles il peut être renvoyé ( art. 109 al. 3 LTF ), ne prêtent pas le flanc à la critique.</w:t>
      </w:r>
    </w:p>
    <w:p>
      <w:r>
        <w:rPr>
          <w:b/>
        </w:rPr>
        <w:t>E. 3</w:t>
      </w:r>
    </w:p>
    <w:p>
      <w:r>
        <w:t>Le recours doit dès lors être rejeté, en tant qu'il est recevable, sans qu'il y ait à ordonner la production du dossier ni à autoriser un droit de réplique. Conformément à l' art. 66 LTF , les frais judiciaires sont mis à la charge du recourant qui succombe. Le présent arrêt est rendu selon la procédure simplifiée prévue à l' art. 109 al. 2 let. a LTF , l' art. 109 al. 1 LTF n'étant pas applicable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